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77506" w14:textId="40264A7F" w:rsidR="00D50F2E" w:rsidRPr="00B25DD0" w:rsidRDefault="00D50F2E" w:rsidP="00D50F2E">
      <w:pPr>
        <w:widowControl w:val="0"/>
        <w:tabs>
          <w:tab w:val="left" w:pos="1701"/>
          <w:tab w:val="right" w:pos="9923"/>
        </w:tabs>
        <w:spacing w:before="120" w:after="0"/>
        <w:rPr>
          <w:rFonts w:ascii="Arial" w:eastAsia="MS Mincho" w:hAnsi="Arial"/>
          <w:b/>
          <w:sz w:val="22"/>
          <w:szCs w:val="22"/>
          <w:lang w:val="de-DE" w:eastAsia="x-none"/>
        </w:rPr>
      </w:pPr>
      <w:r w:rsidRPr="00B25DD0">
        <w:rPr>
          <w:rFonts w:ascii="Arial" w:eastAsia="MS Mincho" w:hAnsi="Arial"/>
          <w:b/>
          <w:sz w:val="22"/>
          <w:szCs w:val="22"/>
          <w:lang w:val="de-DE" w:eastAsia="x-none"/>
        </w:rPr>
        <w:t>3GPP TSG-RAN WG2 Meeting #129</w:t>
      </w:r>
      <w:r>
        <w:rPr>
          <w:rFonts w:ascii="Arial" w:eastAsia="MS Mincho" w:hAnsi="Arial"/>
          <w:b/>
          <w:sz w:val="22"/>
          <w:szCs w:val="22"/>
          <w:lang w:val="de-DE" w:eastAsia="x-none"/>
        </w:rPr>
        <w:t>bis</w:t>
      </w:r>
      <w:r w:rsidRPr="00B25DD0">
        <w:rPr>
          <w:rFonts w:ascii="Arial" w:eastAsia="MS Mincho" w:hAnsi="Arial"/>
          <w:b/>
          <w:sz w:val="22"/>
          <w:szCs w:val="22"/>
          <w:lang w:val="de-DE" w:eastAsia="x-none"/>
        </w:rPr>
        <w:tab/>
      </w:r>
      <w:r w:rsidR="00C904D1" w:rsidRPr="00C904D1">
        <w:rPr>
          <w:rFonts w:ascii="Arial" w:eastAsia="MS Mincho" w:hAnsi="Arial"/>
          <w:b/>
          <w:sz w:val="22"/>
          <w:szCs w:val="22"/>
          <w:lang w:val="de-DE" w:eastAsia="x-none"/>
        </w:rPr>
        <w:t>R2-2501843</w:t>
      </w:r>
    </w:p>
    <w:p w14:paraId="2ED12A3E" w14:textId="77777777" w:rsidR="00D50F2E" w:rsidRPr="00E0578C" w:rsidRDefault="00D50F2E" w:rsidP="00D50F2E">
      <w:pPr>
        <w:pStyle w:val="af0"/>
        <w:spacing w:before="120"/>
        <w:jc w:val="both"/>
        <w:rPr>
          <w:rFonts w:eastAsia="MS Mincho"/>
          <w:sz w:val="22"/>
          <w:szCs w:val="24"/>
          <w:lang w:val="de-DE" w:eastAsia="x-none"/>
        </w:rPr>
      </w:pPr>
      <w:r w:rsidRPr="00EC6711">
        <w:rPr>
          <w:rFonts w:eastAsia="MS Mincho"/>
          <w:sz w:val="22"/>
          <w:szCs w:val="24"/>
          <w:lang w:val="de-DE" w:eastAsia="x-none"/>
        </w:rPr>
        <w:t>Wuhan, China, April 7</w:t>
      </w:r>
      <w:r w:rsidRPr="00746032">
        <w:rPr>
          <w:rFonts w:eastAsia="MS Mincho"/>
          <w:sz w:val="22"/>
          <w:szCs w:val="24"/>
          <w:vertAlign w:val="superscript"/>
          <w:lang w:val="de-DE" w:eastAsia="x-none"/>
        </w:rPr>
        <w:t>th</w:t>
      </w:r>
      <w:r w:rsidRPr="00EC6711">
        <w:rPr>
          <w:rFonts w:eastAsia="MS Mincho"/>
          <w:sz w:val="22"/>
          <w:szCs w:val="24"/>
          <w:lang w:val="de-DE" w:eastAsia="x-none"/>
        </w:rPr>
        <w:t xml:space="preserve"> - 11</w:t>
      </w:r>
      <w:r w:rsidRPr="00746032">
        <w:rPr>
          <w:rFonts w:eastAsia="MS Mincho"/>
          <w:sz w:val="22"/>
          <w:szCs w:val="24"/>
          <w:vertAlign w:val="superscript"/>
          <w:lang w:val="de-DE" w:eastAsia="x-none"/>
        </w:rPr>
        <w:t>th</w:t>
      </w:r>
      <w:r>
        <w:rPr>
          <w:rFonts w:eastAsia="MS Mincho"/>
          <w:sz w:val="22"/>
          <w:szCs w:val="24"/>
          <w:lang w:val="de-DE" w:eastAsia="x-none"/>
        </w:rPr>
        <w:t xml:space="preserve">, </w:t>
      </w:r>
      <w:r w:rsidRPr="00EC6711">
        <w:rPr>
          <w:rFonts w:eastAsia="MS Mincho"/>
          <w:sz w:val="22"/>
          <w:szCs w:val="24"/>
          <w:lang w:val="de-DE" w:eastAsia="x-none"/>
        </w:rPr>
        <w:t>2025</w:t>
      </w:r>
    </w:p>
    <w:p w14:paraId="78AF63CC" w14:textId="77777777" w:rsidR="008A48D8" w:rsidRPr="000A3EB5" w:rsidRDefault="008A48D8" w:rsidP="00CC3493">
      <w:pPr>
        <w:pStyle w:val="af0"/>
        <w:jc w:val="both"/>
        <w:rPr>
          <w:rFonts w:eastAsiaTheme="minorEastAsia"/>
          <w:bCs/>
          <w:sz w:val="28"/>
          <w:lang w:val="de-DE"/>
        </w:rPr>
      </w:pPr>
    </w:p>
    <w:p w14:paraId="263F7E50" w14:textId="09105565" w:rsidR="00E5433F" w:rsidRPr="00050BD2" w:rsidRDefault="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6E762A" w:rsidRPr="006E762A">
        <w:rPr>
          <w:rFonts w:ascii="Arial" w:hAnsi="Arial" w:cs="Arial"/>
          <w:b/>
          <w:sz w:val="22"/>
        </w:rPr>
        <w:t>8.8.4</w:t>
      </w:r>
    </w:p>
    <w:p w14:paraId="6CDD9A34" w14:textId="7A4A7658" w:rsidR="00E5433F" w:rsidRPr="00050BD2" w:rsidRDefault="00D853B1">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0D65B4">
        <w:rPr>
          <w:rFonts w:ascii="Arial" w:hAnsi="Arial" w:cs="Arial"/>
          <w:b/>
          <w:sz w:val="22"/>
        </w:rPr>
        <w:t>ONOR</w:t>
      </w:r>
    </w:p>
    <w:p w14:paraId="44EF1B85" w14:textId="2EF32B74" w:rsidR="009C535A" w:rsidRDefault="00E5433F" w:rsidP="00070B1C">
      <w:pPr>
        <w:ind w:left="1985" w:hanging="1985"/>
        <w:jc w:val="both"/>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AE4E04" w:rsidRPr="00AE4E04">
        <w:rPr>
          <w:rFonts w:ascii="Arial" w:hAnsi="Arial" w:cs="Arial"/>
          <w:b/>
          <w:sz w:val="22"/>
        </w:rPr>
        <w:t xml:space="preserve">Discussions on the support of </w:t>
      </w:r>
      <w:r w:rsidR="00805CC9">
        <w:rPr>
          <w:rFonts w:ascii="Arial" w:hAnsi="Arial" w:cs="Arial"/>
          <w:b/>
          <w:sz w:val="22"/>
        </w:rPr>
        <w:t>b</w:t>
      </w:r>
      <w:r w:rsidR="00AE4E04" w:rsidRPr="00AE4E04">
        <w:rPr>
          <w:rFonts w:ascii="Arial" w:hAnsi="Arial" w:cs="Arial"/>
          <w:b/>
          <w:sz w:val="22"/>
        </w:rPr>
        <w:t>roadcast service</w:t>
      </w:r>
    </w:p>
    <w:p w14:paraId="7E1D6554" w14:textId="5F25B71F" w:rsidR="00E5433F" w:rsidRPr="00050BD2" w:rsidRDefault="00E5433F" w:rsidP="00070B1C">
      <w:pPr>
        <w:ind w:left="1985" w:hanging="1985"/>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rsidP="00CC3493">
      <w:pPr>
        <w:pStyle w:val="1"/>
        <w:jc w:val="both"/>
        <w:rPr>
          <w:rFonts w:ascii="Times New Roman" w:hAnsi="Times New Roman"/>
          <w:b/>
          <w:bCs/>
          <w:sz w:val="20"/>
          <w:u w:val="single"/>
          <w:lang w:val="en-US"/>
        </w:rPr>
      </w:pPr>
      <w:r>
        <w:t>1</w:t>
      </w:r>
      <w:r>
        <w:tab/>
        <w:t>Introduction</w:t>
      </w:r>
    </w:p>
    <w:p w14:paraId="59FE5346" w14:textId="59298313" w:rsidR="00C81520" w:rsidRDefault="00C81520">
      <w:pPr>
        <w:spacing w:beforeLines="50" w:before="120"/>
        <w:jc w:val="both"/>
        <w:rPr>
          <w:lang w:eastAsia="zh-CN"/>
        </w:rPr>
      </w:pPr>
      <w:r>
        <w:rPr>
          <w:lang w:eastAsia="zh-CN"/>
        </w:rPr>
        <w:t xml:space="preserve">During the </w:t>
      </w:r>
      <w:r w:rsidR="00C35E94">
        <w:rPr>
          <w:rFonts w:hint="eastAsia"/>
          <w:lang w:eastAsia="zh-CN"/>
        </w:rPr>
        <w:t>previous</w:t>
      </w:r>
      <w:r w:rsidR="00C35E94">
        <w:rPr>
          <w:lang w:eastAsia="zh-CN"/>
        </w:rPr>
        <w:t xml:space="preserve"> </w:t>
      </w:r>
      <w:r>
        <w:rPr>
          <w:lang w:eastAsia="zh-CN"/>
        </w:rPr>
        <w:t>meeting</w:t>
      </w:r>
      <w:r w:rsidR="00C35E94">
        <w:rPr>
          <w:lang w:eastAsia="zh-CN"/>
        </w:rPr>
        <w:t>s</w:t>
      </w:r>
      <w:r>
        <w:rPr>
          <w:lang w:eastAsia="zh-CN"/>
        </w:rPr>
        <w:t xml:space="preserve"> </w:t>
      </w:r>
      <w:r w:rsidR="00C35E94">
        <w:rPr>
          <w:lang w:eastAsia="zh-CN"/>
        </w:rPr>
        <w:t xml:space="preserve">for </w:t>
      </w:r>
      <w:r>
        <w:rPr>
          <w:lang w:eastAsia="zh-CN"/>
        </w:rPr>
        <w:t>Rel-19</w:t>
      </w:r>
      <w:r w:rsidR="00C35E94">
        <w:rPr>
          <w:lang w:eastAsia="zh-CN"/>
        </w:rPr>
        <w:t xml:space="preserve"> NTN</w:t>
      </w:r>
      <w:r>
        <w:rPr>
          <w:lang w:eastAsia="zh-CN"/>
        </w:rPr>
        <w:t xml:space="preserve">, RAN2 clarified use cases of the broadcast service in NTN system and </w:t>
      </w:r>
      <w:r w:rsidR="00B85D2C">
        <w:rPr>
          <w:rFonts w:hint="eastAsia"/>
          <w:lang w:eastAsia="zh-CN"/>
        </w:rPr>
        <w:t>made</w:t>
      </w:r>
      <w:r w:rsidR="00B85D2C">
        <w:rPr>
          <w:lang w:eastAsia="zh-CN"/>
        </w:rPr>
        <w:t xml:space="preserve"> some basic </w:t>
      </w:r>
      <w:r w:rsidR="00447853">
        <w:rPr>
          <w:lang w:eastAsia="zh-CN"/>
        </w:rPr>
        <w:t>agreements</w:t>
      </w:r>
      <w:r w:rsidR="000263FB">
        <w:rPr>
          <w:lang w:eastAsia="zh-CN"/>
        </w:rPr>
        <w:t xml:space="preserve"> during RAN2#</w:t>
      </w:r>
      <w:r w:rsidR="00C77511">
        <w:rPr>
          <w:lang w:eastAsia="zh-CN"/>
        </w:rPr>
        <w:t xml:space="preserve">129 </w:t>
      </w:r>
      <w:r w:rsidR="000263FB">
        <w:rPr>
          <w:lang w:eastAsia="zh-CN"/>
        </w:rPr>
        <w:t>meeting</w:t>
      </w:r>
      <w:r w:rsidR="00447853">
        <w:rPr>
          <w:lang w:eastAsia="zh-CN"/>
        </w:rPr>
        <w:t xml:space="preserve"> as follows.</w:t>
      </w:r>
    </w:p>
    <w:tbl>
      <w:tblPr>
        <w:tblStyle w:val="af5"/>
        <w:tblW w:w="0" w:type="auto"/>
        <w:tblLook w:val="04A0" w:firstRow="1" w:lastRow="0" w:firstColumn="1" w:lastColumn="0" w:noHBand="0" w:noVBand="1"/>
      </w:tblPr>
      <w:tblGrid>
        <w:gridCol w:w="9631"/>
      </w:tblGrid>
      <w:tr w:rsidR="00C35E94" w14:paraId="369009CD" w14:textId="77777777" w:rsidTr="00C35E94">
        <w:tc>
          <w:tcPr>
            <w:tcW w:w="9631" w:type="dxa"/>
          </w:tcPr>
          <w:p w14:paraId="538DDEC1" w14:textId="493E5714" w:rsidR="00C35E94" w:rsidRPr="00C35E94" w:rsidRDefault="00C35E94" w:rsidP="007845BC">
            <w:pPr>
              <w:pStyle w:val="Doc-text2"/>
              <w:tabs>
                <w:tab w:val="clear" w:pos="1622"/>
                <w:tab w:val="left" w:pos="426"/>
              </w:tabs>
              <w:spacing w:line="276" w:lineRule="auto"/>
              <w:ind w:left="0" w:firstLine="0"/>
              <w:jc w:val="both"/>
              <w:rPr>
                <w:rFonts w:cs="Arial"/>
              </w:rPr>
            </w:pPr>
            <w:r w:rsidRPr="00C35E94">
              <w:rPr>
                <w:rFonts w:cs="Arial"/>
                <w:szCs w:val="20"/>
              </w:rPr>
              <w:t>Agreements</w:t>
            </w:r>
          </w:p>
          <w:p w14:paraId="31420BD1" w14:textId="75713D73" w:rsidR="00E979D5" w:rsidRPr="00E979D5" w:rsidRDefault="00E979D5" w:rsidP="00E979D5">
            <w:pPr>
              <w:widowControl w:val="0"/>
              <w:autoSpaceDE w:val="0"/>
              <w:autoSpaceDN w:val="0"/>
              <w:adjustRightInd w:val="0"/>
              <w:spacing w:after="0" w:line="276" w:lineRule="auto"/>
              <w:ind w:left="167" w:hanging="167"/>
              <w:contextualSpacing/>
              <w:rPr>
                <w:rFonts w:ascii="Arial" w:eastAsia="Times New Roman" w:hAnsi="Arial" w:cs="Arial"/>
                <w:lang w:eastAsia="zh-CN"/>
              </w:rPr>
            </w:pPr>
            <w:r w:rsidRPr="00E979D5">
              <w:rPr>
                <w:rFonts w:ascii="Arial" w:eastAsia="Times New Roman" w:hAnsi="Arial" w:cs="Arial"/>
                <w:lang w:eastAsia="zh-CN"/>
              </w:rPr>
              <w:t>1.</w:t>
            </w:r>
            <w:r w:rsidR="0009554B">
              <w:rPr>
                <w:rFonts w:ascii="Arial" w:eastAsia="Times New Roman" w:hAnsi="Arial" w:cs="Arial"/>
                <w:lang w:eastAsia="zh-CN"/>
              </w:rPr>
              <w:t xml:space="preserve"> </w:t>
            </w:r>
            <w:r w:rsidRPr="00E979D5">
              <w:rPr>
                <w:rFonts w:ascii="Arial" w:eastAsia="Times New Roman" w:hAnsi="Arial" w:cs="Arial"/>
                <w:lang w:eastAsia="zh-CN"/>
              </w:rPr>
              <w:tab/>
              <w:t>In the new SIB, explicit network-indicated area ID is used to label an intended service area in the list</w:t>
            </w:r>
          </w:p>
          <w:p w14:paraId="4DCC2EA9" w14:textId="144F6C7A" w:rsidR="00E979D5" w:rsidRPr="00E979D5" w:rsidRDefault="00E979D5" w:rsidP="00E979D5">
            <w:pPr>
              <w:widowControl w:val="0"/>
              <w:autoSpaceDE w:val="0"/>
              <w:autoSpaceDN w:val="0"/>
              <w:adjustRightInd w:val="0"/>
              <w:spacing w:after="0" w:line="276" w:lineRule="auto"/>
              <w:ind w:left="167" w:hanging="167"/>
              <w:contextualSpacing/>
              <w:rPr>
                <w:rFonts w:ascii="Arial" w:eastAsia="Times New Roman" w:hAnsi="Arial" w:cs="Arial"/>
                <w:lang w:eastAsia="zh-CN"/>
              </w:rPr>
            </w:pPr>
            <w:r w:rsidRPr="00E979D5">
              <w:rPr>
                <w:rFonts w:ascii="Arial" w:eastAsia="Times New Roman" w:hAnsi="Arial" w:cs="Arial"/>
                <w:lang w:eastAsia="zh-CN"/>
              </w:rPr>
              <w:t>2.</w:t>
            </w:r>
            <w:r w:rsidRPr="00E979D5">
              <w:rPr>
                <w:rFonts w:ascii="Arial" w:eastAsia="Times New Roman" w:hAnsi="Arial" w:cs="Arial"/>
                <w:lang w:eastAsia="zh-CN"/>
              </w:rPr>
              <w:tab/>
            </w:r>
            <w:r w:rsidR="0009554B">
              <w:rPr>
                <w:rFonts w:ascii="Arial" w:eastAsia="Times New Roman" w:hAnsi="Arial" w:cs="Arial"/>
                <w:lang w:eastAsia="zh-CN"/>
              </w:rPr>
              <w:t xml:space="preserve"> </w:t>
            </w:r>
            <w:r w:rsidRPr="00E979D5">
              <w:rPr>
                <w:rFonts w:ascii="Arial" w:eastAsia="Times New Roman" w:hAnsi="Arial" w:cs="Arial"/>
                <w:lang w:eastAsia="zh-CN"/>
              </w:rPr>
              <w:t>It shall be possible to signal multiple service area IDs to one MBS service (we Insert a list of service area IDs in MCCH)</w:t>
            </w:r>
          </w:p>
          <w:p w14:paraId="75D990AC" w14:textId="460135FF" w:rsidR="00C35E94" w:rsidRPr="00E979D5" w:rsidRDefault="00E979D5" w:rsidP="00E979D5">
            <w:pPr>
              <w:widowControl w:val="0"/>
              <w:autoSpaceDE w:val="0"/>
              <w:autoSpaceDN w:val="0"/>
              <w:adjustRightInd w:val="0"/>
              <w:spacing w:after="0" w:line="276" w:lineRule="auto"/>
              <w:ind w:left="167" w:hanging="167"/>
              <w:contextualSpacing/>
              <w:rPr>
                <w:rFonts w:ascii="Arial" w:eastAsia="Times New Roman" w:hAnsi="Arial" w:cs="Arial"/>
                <w:lang w:eastAsia="zh-CN"/>
              </w:rPr>
            </w:pPr>
            <w:r w:rsidRPr="00E979D5">
              <w:rPr>
                <w:rFonts w:ascii="Arial" w:eastAsia="Times New Roman" w:hAnsi="Arial" w:cs="Arial"/>
                <w:lang w:eastAsia="zh-CN"/>
              </w:rPr>
              <w:t>3.</w:t>
            </w:r>
            <w:r w:rsidR="0009554B">
              <w:rPr>
                <w:rFonts w:ascii="Arial" w:eastAsia="Times New Roman" w:hAnsi="Arial" w:cs="Arial"/>
                <w:lang w:eastAsia="zh-CN"/>
              </w:rPr>
              <w:t xml:space="preserve"> </w:t>
            </w:r>
            <w:r w:rsidRPr="00E979D5">
              <w:rPr>
                <w:rFonts w:ascii="Arial" w:eastAsia="Times New Roman" w:hAnsi="Arial" w:cs="Arial"/>
                <w:lang w:eastAsia="zh-CN"/>
              </w:rPr>
              <w:tab/>
              <w:t>Introduce “warning area coordinates” in ETWS Primary Notification (SIB6) and in ETWS Secondary Notification (SIB7). FFS on the signalling details for “warning area coordinates” (SIB6 is not segmented)</w:t>
            </w:r>
          </w:p>
        </w:tc>
      </w:tr>
    </w:tbl>
    <w:p w14:paraId="69A01D0C" w14:textId="194672D3" w:rsidR="003604D4" w:rsidRPr="003604D4" w:rsidRDefault="006B68A2" w:rsidP="00CC3493">
      <w:pPr>
        <w:spacing w:beforeLines="50" w:before="120"/>
        <w:jc w:val="both"/>
        <w:rPr>
          <w:lang w:eastAsia="zh-CN"/>
        </w:rPr>
      </w:pPr>
      <w:bookmarkStart w:id="0" w:name="_Hlk134451243"/>
      <w:r>
        <w:rPr>
          <w:lang w:eastAsia="zh-CN"/>
        </w:rPr>
        <w:t xml:space="preserve">In this contribution, we would further discuss how to </w:t>
      </w:r>
      <w:r w:rsidR="00805CC9">
        <w:rPr>
          <w:lang w:eastAsia="zh-CN"/>
        </w:rPr>
        <w:t>provide the broadcast service via NTN</w:t>
      </w:r>
      <w:r>
        <w:rPr>
          <w:lang w:eastAsia="zh-CN"/>
        </w:rPr>
        <w:t xml:space="preserve"> based on the previous agreements</w:t>
      </w:r>
      <w:r w:rsidR="003604D4">
        <w:rPr>
          <w:lang w:eastAsia="zh-CN"/>
        </w:rPr>
        <w:t>.</w:t>
      </w:r>
    </w:p>
    <w:bookmarkEnd w:id="0"/>
    <w:p w14:paraId="49B5CBBB" w14:textId="04602DFC" w:rsidR="008A48D8" w:rsidRDefault="00124F8D" w:rsidP="00CC3493">
      <w:pPr>
        <w:pStyle w:val="1"/>
        <w:numPr>
          <w:ilvl w:val="0"/>
          <w:numId w:val="4"/>
        </w:numPr>
        <w:jc w:val="both"/>
      </w:pPr>
      <w:r>
        <w:t>Discussion</w:t>
      </w:r>
      <w:r w:rsidR="00F90FD1">
        <w:t xml:space="preserve"> </w:t>
      </w:r>
    </w:p>
    <w:p w14:paraId="3C3397AC" w14:textId="2081271B" w:rsidR="007845BC" w:rsidRDefault="007845BC" w:rsidP="000402F2">
      <w:pPr>
        <w:widowControl w:val="0"/>
        <w:autoSpaceDE w:val="0"/>
        <w:autoSpaceDN w:val="0"/>
        <w:adjustRightInd w:val="0"/>
        <w:spacing w:after="0"/>
        <w:jc w:val="both"/>
        <w:rPr>
          <w:lang w:val="en-US" w:eastAsia="zh-CN"/>
        </w:rPr>
      </w:pPr>
      <w:r w:rsidRPr="007845BC">
        <w:rPr>
          <w:lang w:val="en-US" w:eastAsia="zh-CN"/>
        </w:rPr>
        <w:t xml:space="preserve">Considering the size of the new SIB, if the UE already obtained the list of some </w:t>
      </w:r>
      <w:r w:rsidR="002F6AAA">
        <w:rPr>
          <w:lang w:val="en-US" w:eastAsia="zh-CN"/>
        </w:rPr>
        <w:t xml:space="preserve">intended service </w:t>
      </w:r>
      <w:r w:rsidRPr="007845BC">
        <w:rPr>
          <w:lang w:val="en-US" w:eastAsia="zh-CN"/>
        </w:rPr>
        <w:t>area</w:t>
      </w:r>
      <w:r w:rsidR="002F6AAA">
        <w:rPr>
          <w:lang w:val="en-US" w:eastAsia="zh-CN"/>
        </w:rPr>
        <w:t>s</w:t>
      </w:r>
      <w:r w:rsidRPr="007845BC">
        <w:rPr>
          <w:lang w:val="en-US" w:eastAsia="zh-CN"/>
        </w:rPr>
        <w:t xml:space="preserve"> </w:t>
      </w:r>
      <w:r w:rsidR="002F6AAA">
        <w:rPr>
          <w:lang w:val="en-US" w:eastAsia="zh-CN"/>
        </w:rPr>
        <w:t>which are overlapped with some</w:t>
      </w:r>
      <w:r w:rsidRPr="007845BC">
        <w:rPr>
          <w:lang w:val="en-US" w:eastAsia="zh-CN"/>
        </w:rPr>
        <w:t xml:space="preserve"> cells, it could save it to the variable part and use it based on the info</w:t>
      </w:r>
      <w:r w:rsidR="00E979D5">
        <w:rPr>
          <w:rFonts w:hint="eastAsia"/>
          <w:lang w:val="en-US" w:eastAsia="zh-CN"/>
        </w:rPr>
        <w:t>r</w:t>
      </w:r>
      <w:r w:rsidR="00E979D5">
        <w:rPr>
          <w:lang w:val="en-US" w:eastAsia="zh-CN"/>
        </w:rPr>
        <w:t>mation</w:t>
      </w:r>
      <w:r w:rsidRPr="007845BC">
        <w:rPr>
          <w:lang w:val="en-US" w:eastAsia="zh-CN"/>
        </w:rPr>
        <w:t xml:space="preserve"> provided in the MCCH when moved in another cell. In this way, UE is not required to re-obtain the new SIB before it establish/release the MRB if there is no update (reuse the legacy </w:t>
      </w:r>
      <w:proofErr w:type="spellStart"/>
      <w:r w:rsidRPr="002254E4">
        <w:rPr>
          <w:i/>
          <w:iCs/>
          <w:lang w:val="en-US" w:eastAsia="zh-CN"/>
        </w:rPr>
        <w:t>systemInformationAreaID</w:t>
      </w:r>
      <w:proofErr w:type="spellEnd"/>
      <w:r w:rsidRPr="007845BC">
        <w:rPr>
          <w:lang w:val="en-US" w:eastAsia="zh-CN"/>
        </w:rPr>
        <w:t xml:space="preserve"> of the SIB is not changed) when it still within the area in the obtained area info</w:t>
      </w:r>
      <w:r w:rsidR="002F6AAA">
        <w:rPr>
          <w:lang w:val="en-US" w:eastAsia="zh-CN"/>
        </w:rPr>
        <w:t>rmation</w:t>
      </w:r>
      <w:r w:rsidRPr="007845BC">
        <w:rPr>
          <w:lang w:val="en-US" w:eastAsia="zh-CN"/>
        </w:rPr>
        <w:t>.</w:t>
      </w:r>
      <w:r w:rsidR="002F6AAA">
        <w:rPr>
          <w:lang w:val="en-US" w:eastAsia="zh-CN"/>
        </w:rPr>
        <w:t xml:space="preserve"> Furthermore, </w:t>
      </w:r>
      <w:r w:rsidR="000402F2">
        <w:rPr>
          <w:lang w:val="en-US" w:eastAsia="zh-CN"/>
        </w:rPr>
        <w:t>in the current specification, the UE could skip the MCCH acquisition based on the cell/tracking area list in the USD (</w:t>
      </w:r>
      <w:r w:rsidR="000402F2" w:rsidRPr="000402F2">
        <w:rPr>
          <w:lang w:val="en-US" w:eastAsia="zh-CN"/>
        </w:rPr>
        <w:t>User</w:t>
      </w:r>
      <w:r w:rsidR="000402F2">
        <w:rPr>
          <w:lang w:val="en-US" w:eastAsia="zh-CN"/>
        </w:rPr>
        <w:t xml:space="preserve"> </w:t>
      </w:r>
      <w:r w:rsidR="000402F2" w:rsidRPr="000402F2">
        <w:rPr>
          <w:lang w:val="en-US" w:eastAsia="zh-CN"/>
        </w:rPr>
        <w:t>Service Description</w:t>
      </w:r>
      <w:r w:rsidR="000402F2">
        <w:rPr>
          <w:lang w:val="en-US" w:eastAsia="zh-CN"/>
        </w:rPr>
        <w:t xml:space="preserve">) </w:t>
      </w:r>
      <w:r w:rsidR="000402F2" w:rsidRPr="000402F2">
        <w:rPr>
          <w:lang w:val="en-US" w:eastAsia="zh-CN"/>
        </w:rPr>
        <w:t>when the UE is outside the MBS service area of the MBS broadcast service</w:t>
      </w:r>
      <w:r w:rsidR="005F0D4D">
        <w:rPr>
          <w:lang w:val="en-US" w:eastAsia="zh-CN"/>
        </w:rPr>
        <w:t>.</w:t>
      </w:r>
      <w:r w:rsidR="003143E3">
        <w:rPr>
          <w:lang w:val="en-US" w:eastAsia="zh-CN"/>
        </w:rPr>
        <w:t xml:space="preserve"> The MCCH skip is reasonable since the UE out of the intended service area could not receive the MBS service even the cell could provide the service. Similar operation could be performed to avoid MCCH </w:t>
      </w:r>
    </w:p>
    <w:p w14:paraId="634C81BB" w14:textId="28F24887" w:rsidR="007845BC" w:rsidRPr="007845BC" w:rsidRDefault="007845BC" w:rsidP="00600F13">
      <w:pPr>
        <w:spacing w:beforeLines="50" w:before="120"/>
        <w:jc w:val="both"/>
        <w:rPr>
          <w:b/>
          <w:lang w:eastAsia="zh-CN"/>
        </w:rPr>
      </w:pPr>
      <w:r w:rsidRPr="007845BC">
        <w:rPr>
          <w:b/>
          <w:lang w:eastAsia="zh-CN"/>
        </w:rPr>
        <w:t xml:space="preserve">Proposal </w:t>
      </w:r>
      <w:r w:rsidR="00034A2E">
        <w:rPr>
          <w:b/>
          <w:lang w:eastAsia="zh-CN"/>
        </w:rPr>
        <w:t>1</w:t>
      </w:r>
      <w:r w:rsidRPr="007845BC">
        <w:rPr>
          <w:rFonts w:hint="eastAsia"/>
          <w:b/>
          <w:lang w:eastAsia="zh-CN"/>
        </w:rPr>
        <w:t>：</w:t>
      </w:r>
      <w:r w:rsidRPr="007845BC">
        <w:rPr>
          <w:b/>
          <w:lang w:eastAsia="zh-CN"/>
        </w:rPr>
        <w:t>The index of the intended service areas is unified assigned across cells.</w:t>
      </w:r>
      <w:r w:rsidR="00E979D5">
        <w:rPr>
          <w:b/>
          <w:lang w:eastAsia="zh-CN"/>
        </w:rPr>
        <w:t xml:space="preserve"> </w:t>
      </w:r>
    </w:p>
    <w:p w14:paraId="0919CA1D" w14:textId="691E1416" w:rsidR="007845BC" w:rsidRPr="007845BC" w:rsidRDefault="007845BC" w:rsidP="00662D19">
      <w:pPr>
        <w:widowControl w:val="0"/>
        <w:autoSpaceDE w:val="0"/>
        <w:autoSpaceDN w:val="0"/>
        <w:adjustRightInd w:val="0"/>
        <w:spacing w:after="0"/>
        <w:jc w:val="both"/>
        <w:rPr>
          <w:lang w:val="en-US" w:eastAsia="zh-CN"/>
        </w:rPr>
      </w:pPr>
      <w:r w:rsidRPr="007845BC">
        <w:rPr>
          <w:lang w:val="en-US" w:eastAsia="zh-CN"/>
        </w:rPr>
        <w:t xml:space="preserve">Although the issue is more severe in the NTN scenario, </w:t>
      </w:r>
      <w:r w:rsidR="00662D19">
        <w:rPr>
          <w:lang w:val="en-US" w:eastAsia="zh-CN"/>
        </w:rPr>
        <w:t xml:space="preserve">the </w:t>
      </w:r>
      <w:r w:rsidR="00662D19" w:rsidRPr="00662D19">
        <w:rPr>
          <w:lang w:val="en-US" w:eastAsia="zh-CN"/>
        </w:rPr>
        <w:t xml:space="preserve">intended </w:t>
      </w:r>
      <w:r w:rsidR="00662D19">
        <w:rPr>
          <w:lang w:val="en-US" w:eastAsia="zh-CN"/>
        </w:rPr>
        <w:t xml:space="preserve">area is defined since the NTN cell may be too big to provide MBS service within the proper area. However, since the TN cell is related to the deployment of the gNB and the intended service area is based on the policy provided by the service provider. This means the border of the </w:t>
      </w:r>
      <w:r w:rsidR="00662D19" w:rsidRPr="00662D19">
        <w:rPr>
          <w:lang w:val="en-US" w:eastAsia="zh-CN"/>
        </w:rPr>
        <w:t xml:space="preserve">intended </w:t>
      </w:r>
      <w:r w:rsidR="00662D19">
        <w:rPr>
          <w:lang w:val="en-US" w:eastAsia="zh-CN"/>
        </w:rPr>
        <w:t xml:space="preserve">service area may be not aligned with the border of the TN cell. Thus, </w:t>
      </w:r>
      <w:r w:rsidRPr="007845BC">
        <w:rPr>
          <w:lang w:val="en-US" w:eastAsia="zh-CN"/>
        </w:rPr>
        <w:t xml:space="preserve">TN UEs could also utilize the info to understand whether it can obtain the specific MBS service based on its location. </w:t>
      </w:r>
    </w:p>
    <w:p w14:paraId="4BCF66A1" w14:textId="7A4810E9" w:rsidR="007845BC" w:rsidRDefault="007845BC" w:rsidP="003B29A6">
      <w:pPr>
        <w:spacing w:beforeLines="50" w:before="120"/>
        <w:jc w:val="both"/>
        <w:rPr>
          <w:b/>
          <w:lang w:eastAsia="zh-CN"/>
        </w:rPr>
      </w:pPr>
      <w:r w:rsidRPr="007845BC">
        <w:rPr>
          <w:b/>
          <w:lang w:eastAsia="zh-CN"/>
        </w:rPr>
        <w:t xml:space="preserve">Proposal </w:t>
      </w:r>
      <w:r w:rsidR="00034A2E">
        <w:rPr>
          <w:b/>
          <w:lang w:eastAsia="zh-CN"/>
        </w:rPr>
        <w:t>2</w:t>
      </w:r>
      <w:r w:rsidRPr="007845BC">
        <w:rPr>
          <w:b/>
          <w:lang w:eastAsia="zh-CN"/>
        </w:rPr>
        <w:t>: The MBS intended service area mechanism should not be restricted to neither NTN cells nor NTN-capable UEs.</w:t>
      </w:r>
    </w:p>
    <w:p w14:paraId="4C9E7A30" w14:textId="2490E9CD" w:rsidR="00894B62" w:rsidRPr="00CE209A" w:rsidRDefault="003143E3" w:rsidP="000C56CF">
      <w:pPr>
        <w:spacing w:beforeLines="50" w:before="120"/>
        <w:jc w:val="both"/>
        <w:rPr>
          <w:bCs/>
          <w:lang w:val="en-US" w:eastAsia="zh-CN"/>
        </w:rPr>
      </w:pPr>
      <w:r>
        <w:rPr>
          <w:bCs/>
          <w:lang w:val="en-US" w:eastAsia="zh-CN"/>
        </w:rPr>
        <w:t xml:space="preserve">The </w:t>
      </w:r>
      <w:r>
        <w:rPr>
          <w:lang w:val="en-US" w:eastAsia="zh-CN"/>
        </w:rPr>
        <w:t>MBS Interest Indication</w:t>
      </w:r>
      <w:r>
        <w:rPr>
          <w:lang w:val="en-US" w:eastAsia="zh-CN"/>
        </w:rPr>
        <w:t xml:space="preserve"> (MII) is introduced to provide the information about the receiving/interested frequencies/services and the priority related to the MBS. The information provided in the MII may be used to assist the NW to determine the MBS related configuration or the RB management. </w:t>
      </w:r>
      <w:r w:rsidR="000C56CF">
        <w:rPr>
          <w:lang w:val="en-US" w:eastAsia="zh-CN"/>
        </w:rPr>
        <w:t xml:space="preserve">As shown in the previous local MRB service, the UE could enjoy the service as long as it could receive the data since the service is only provided </w:t>
      </w:r>
      <w:r w:rsidR="000C56CF" w:rsidRPr="000C56CF">
        <w:rPr>
          <w:lang w:val="en-US" w:eastAsia="zh-CN"/>
        </w:rPr>
        <w:t>to all UEs in a geographical area</w:t>
      </w:r>
      <w:r w:rsidR="000C56CF">
        <w:rPr>
          <w:lang w:val="en-US" w:eastAsia="zh-CN"/>
        </w:rPr>
        <w:t xml:space="preserve">. However, for the intended service area, the UE able to receive the broadcast may be located out of the intended area. Thus, assistance information about the UE’s ISA could be reported along with the MII to </w:t>
      </w:r>
      <w:r w:rsidR="000C56CF">
        <w:rPr>
          <w:bCs/>
          <w:lang w:val="en-US" w:eastAsia="zh-CN"/>
        </w:rPr>
        <w:t>assist the</w:t>
      </w:r>
      <w:r w:rsidR="00983179">
        <w:rPr>
          <w:bCs/>
          <w:lang w:val="en-US" w:eastAsia="zh-CN"/>
        </w:rPr>
        <w:t xml:space="preserve"> NW</w:t>
      </w:r>
      <w:r w:rsidR="000C56CF">
        <w:rPr>
          <w:bCs/>
          <w:lang w:val="en-US" w:eastAsia="zh-CN"/>
        </w:rPr>
        <w:t>.</w:t>
      </w:r>
    </w:p>
    <w:p w14:paraId="011F3740" w14:textId="132C3301" w:rsidR="0027641C" w:rsidRDefault="0027641C" w:rsidP="0027641C">
      <w:pPr>
        <w:spacing w:beforeLines="50" w:before="120"/>
        <w:jc w:val="both"/>
        <w:rPr>
          <w:b/>
          <w:lang w:eastAsia="zh-CN"/>
        </w:rPr>
      </w:pPr>
      <w:r w:rsidRPr="007845BC">
        <w:rPr>
          <w:b/>
          <w:lang w:eastAsia="zh-CN"/>
        </w:rPr>
        <w:t xml:space="preserve">Proposal </w:t>
      </w:r>
      <w:r>
        <w:rPr>
          <w:b/>
          <w:lang w:eastAsia="zh-CN"/>
        </w:rPr>
        <w:t>3</w:t>
      </w:r>
      <w:r w:rsidRPr="007845BC">
        <w:rPr>
          <w:b/>
          <w:lang w:eastAsia="zh-CN"/>
        </w:rPr>
        <w:t xml:space="preserve">: The </w:t>
      </w:r>
      <w:r>
        <w:rPr>
          <w:b/>
          <w:lang w:eastAsia="zh-CN"/>
        </w:rPr>
        <w:t xml:space="preserve">MII mechanism could be reused to </w:t>
      </w:r>
      <w:r w:rsidR="00A85050">
        <w:rPr>
          <w:b/>
          <w:lang w:eastAsia="zh-CN"/>
        </w:rPr>
        <w:t xml:space="preserve">report the ISA </w:t>
      </w:r>
      <w:r w:rsidR="006D4089">
        <w:rPr>
          <w:b/>
          <w:lang w:eastAsia="zh-CN"/>
        </w:rPr>
        <w:t xml:space="preserve">ID </w:t>
      </w:r>
      <w:r w:rsidR="00A85050">
        <w:rPr>
          <w:b/>
          <w:lang w:eastAsia="zh-CN"/>
        </w:rPr>
        <w:t>of the UE.</w:t>
      </w:r>
    </w:p>
    <w:p w14:paraId="6AFB6053" w14:textId="44FA267D" w:rsidR="00894B62" w:rsidRDefault="00284ACE" w:rsidP="00E937B5">
      <w:pPr>
        <w:spacing w:beforeLines="50" w:before="120"/>
        <w:jc w:val="both"/>
        <w:rPr>
          <w:bCs/>
          <w:lang w:eastAsia="zh-CN"/>
        </w:rPr>
      </w:pPr>
      <w:r w:rsidRPr="00284ACE">
        <w:rPr>
          <w:bCs/>
          <w:lang w:eastAsia="zh-CN"/>
        </w:rPr>
        <w:t xml:space="preserve">In the current specification, </w:t>
      </w:r>
      <w:r>
        <w:rPr>
          <w:bCs/>
          <w:lang w:eastAsia="zh-CN"/>
        </w:rPr>
        <w:t xml:space="preserve">UE could avoid </w:t>
      </w:r>
      <w:r>
        <w:rPr>
          <w:lang w:val="en-US" w:eastAsia="zh-CN"/>
        </w:rPr>
        <w:t>acquiring</w:t>
      </w:r>
      <w:r>
        <w:rPr>
          <w:lang w:val="en-US" w:eastAsia="zh-CN"/>
        </w:rPr>
        <w:t xml:space="preserve"> </w:t>
      </w:r>
      <w:r>
        <w:rPr>
          <w:bCs/>
          <w:lang w:eastAsia="zh-CN"/>
        </w:rPr>
        <w:t xml:space="preserve">MCCH for the local broad cast service as shown in the below. Based on the assumption that the ISA may be quite static, </w:t>
      </w:r>
      <w:r>
        <w:rPr>
          <w:rFonts w:hint="eastAsia"/>
          <w:bCs/>
          <w:lang w:eastAsia="zh-CN"/>
        </w:rPr>
        <w:t>i</w:t>
      </w:r>
      <w:r>
        <w:rPr>
          <w:bCs/>
          <w:lang w:eastAsia="zh-CN"/>
        </w:rPr>
        <w:t xml:space="preserve">t is also beneficial that the UE </w:t>
      </w:r>
      <w:r w:rsidRPr="00284ACE">
        <w:rPr>
          <w:bCs/>
          <w:lang w:eastAsia="zh-CN"/>
        </w:rPr>
        <w:t xml:space="preserve">use the </w:t>
      </w:r>
      <w:r>
        <w:rPr>
          <w:bCs/>
          <w:lang w:eastAsia="zh-CN"/>
        </w:rPr>
        <w:t>intended service area</w:t>
      </w:r>
      <w:r w:rsidRPr="00284ACE">
        <w:rPr>
          <w:bCs/>
          <w:lang w:eastAsia="zh-CN"/>
        </w:rPr>
        <w:t xml:space="preserve"> list </w:t>
      </w:r>
      <w:r>
        <w:rPr>
          <w:bCs/>
          <w:lang w:eastAsia="zh-CN"/>
        </w:rPr>
        <w:t xml:space="preserve">related to one specific broadcast service </w:t>
      </w:r>
      <w:r w:rsidRPr="00284ACE">
        <w:rPr>
          <w:bCs/>
          <w:lang w:eastAsia="zh-CN"/>
        </w:rPr>
        <w:t>in the USD to avoid acquiring the MCCH</w:t>
      </w:r>
      <w:r>
        <w:rPr>
          <w:bCs/>
          <w:lang w:eastAsia="zh-CN"/>
        </w:rPr>
        <w:t xml:space="preserve"> when </w:t>
      </w:r>
      <w:r w:rsidRPr="00284ACE">
        <w:rPr>
          <w:bCs/>
          <w:lang w:eastAsia="zh-CN"/>
        </w:rPr>
        <w:t xml:space="preserve">UE is outside the MBS service area of </w:t>
      </w:r>
      <w:r>
        <w:rPr>
          <w:bCs/>
          <w:lang w:eastAsia="zh-CN"/>
        </w:rPr>
        <w:t xml:space="preserve">this </w:t>
      </w:r>
      <w:r w:rsidRPr="00284ACE">
        <w:rPr>
          <w:bCs/>
          <w:lang w:eastAsia="zh-CN"/>
        </w:rPr>
        <w:t>MBS broadcast service.</w:t>
      </w:r>
    </w:p>
    <w:p w14:paraId="25455FF6" w14:textId="34E9E4F0" w:rsidR="00284ACE" w:rsidRPr="00284ACE" w:rsidRDefault="00284ACE" w:rsidP="00E937B5">
      <w:pPr>
        <w:spacing w:beforeLines="50" w:before="120"/>
        <w:jc w:val="both"/>
        <w:rPr>
          <w:b/>
          <w:lang w:eastAsia="zh-CN"/>
        </w:rPr>
      </w:pPr>
      <w:r w:rsidRPr="007845BC">
        <w:rPr>
          <w:b/>
          <w:lang w:eastAsia="zh-CN"/>
        </w:rPr>
        <w:lastRenderedPageBreak/>
        <w:t xml:space="preserve">Proposal </w:t>
      </w:r>
      <w:r>
        <w:rPr>
          <w:b/>
          <w:lang w:eastAsia="zh-CN"/>
        </w:rPr>
        <w:t>4</w:t>
      </w:r>
      <w:r w:rsidRPr="007845BC">
        <w:rPr>
          <w:b/>
          <w:lang w:eastAsia="zh-CN"/>
        </w:rPr>
        <w:t xml:space="preserve">: </w:t>
      </w:r>
      <w:r w:rsidRPr="00284ACE">
        <w:rPr>
          <w:b/>
          <w:lang w:eastAsia="zh-CN"/>
        </w:rPr>
        <w:t xml:space="preserve">UE </w:t>
      </w:r>
      <w:r>
        <w:rPr>
          <w:b/>
          <w:lang w:eastAsia="zh-CN"/>
        </w:rPr>
        <w:t xml:space="preserve">could </w:t>
      </w:r>
      <w:r w:rsidRPr="00284ACE">
        <w:rPr>
          <w:b/>
          <w:lang w:eastAsia="zh-CN"/>
        </w:rPr>
        <w:t>use the intended service area list related to one specific broadcast service in the USD to avoid acquiring the MCCH when UE is outside the MBS service area of this MBS broadcast service.</w:t>
      </w:r>
    </w:p>
    <w:p w14:paraId="149D8C5D" w14:textId="3148FC65" w:rsidR="00FC3356" w:rsidRPr="004856D9" w:rsidRDefault="00B42365" w:rsidP="00BF6328">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6233C985" w:rsidR="00F17FC9" w:rsidRDefault="00B84B48" w:rsidP="00BF632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EB29ED">
        <w:rPr>
          <w:rFonts w:ascii="Times New Roman" w:eastAsia="宋体" w:hAnsi="Times New Roman" w:cs="Times New Roman"/>
          <w:sz w:val="20"/>
          <w:szCs w:val="20"/>
          <w:lang w:val="x-none" w:eastAsia="zh-CN"/>
        </w:rPr>
        <w:t>intended service area in NTN</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40FC0905" w14:textId="77777777" w:rsidR="003D1FED" w:rsidRPr="007845BC" w:rsidRDefault="003D1FED" w:rsidP="003D1FED">
      <w:pPr>
        <w:spacing w:beforeLines="50" w:before="120"/>
        <w:jc w:val="both"/>
        <w:rPr>
          <w:b/>
          <w:lang w:eastAsia="zh-CN"/>
        </w:rPr>
      </w:pPr>
      <w:r w:rsidRPr="007845BC">
        <w:rPr>
          <w:b/>
          <w:lang w:eastAsia="zh-CN"/>
        </w:rPr>
        <w:t xml:space="preserve">Proposal </w:t>
      </w:r>
      <w:r>
        <w:rPr>
          <w:b/>
          <w:lang w:eastAsia="zh-CN"/>
        </w:rPr>
        <w:t>1</w:t>
      </w:r>
      <w:r w:rsidRPr="007845BC">
        <w:rPr>
          <w:rFonts w:hint="eastAsia"/>
          <w:b/>
          <w:lang w:eastAsia="zh-CN"/>
        </w:rPr>
        <w:t>：</w:t>
      </w:r>
      <w:r w:rsidRPr="007845BC">
        <w:rPr>
          <w:b/>
          <w:lang w:eastAsia="zh-CN"/>
        </w:rPr>
        <w:t>The index of the intended service areas is unified assigned across cells.</w:t>
      </w:r>
      <w:r>
        <w:rPr>
          <w:b/>
          <w:lang w:eastAsia="zh-CN"/>
        </w:rPr>
        <w:t xml:space="preserve"> </w:t>
      </w:r>
    </w:p>
    <w:p w14:paraId="41D0962A" w14:textId="77777777" w:rsidR="003D1FED" w:rsidRDefault="003D1FED" w:rsidP="003D1FED">
      <w:pPr>
        <w:spacing w:beforeLines="50" w:before="120"/>
        <w:jc w:val="both"/>
        <w:rPr>
          <w:b/>
          <w:lang w:eastAsia="zh-CN"/>
        </w:rPr>
      </w:pPr>
      <w:r w:rsidRPr="007845BC">
        <w:rPr>
          <w:b/>
          <w:lang w:eastAsia="zh-CN"/>
        </w:rPr>
        <w:t xml:space="preserve">Proposal </w:t>
      </w:r>
      <w:r>
        <w:rPr>
          <w:b/>
          <w:lang w:eastAsia="zh-CN"/>
        </w:rPr>
        <w:t>2</w:t>
      </w:r>
      <w:r w:rsidRPr="007845BC">
        <w:rPr>
          <w:b/>
          <w:lang w:eastAsia="zh-CN"/>
        </w:rPr>
        <w:t>: The MBS intended service area mechanism should not be restricted to neither NTN cells nor NTN-capable UEs.</w:t>
      </w:r>
    </w:p>
    <w:p w14:paraId="18CE64C1" w14:textId="78F5AC7A" w:rsidR="003D1FED" w:rsidRDefault="003D1FED" w:rsidP="009539A0">
      <w:pPr>
        <w:spacing w:beforeLines="50" w:before="120"/>
        <w:jc w:val="both"/>
        <w:rPr>
          <w:b/>
          <w:lang w:eastAsia="zh-CN"/>
        </w:rPr>
      </w:pPr>
      <w:r w:rsidRPr="007845BC">
        <w:rPr>
          <w:b/>
          <w:lang w:eastAsia="zh-CN"/>
        </w:rPr>
        <w:t xml:space="preserve">Proposal </w:t>
      </w:r>
      <w:r>
        <w:rPr>
          <w:b/>
          <w:lang w:eastAsia="zh-CN"/>
        </w:rPr>
        <w:t>3</w:t>
      </w:r>
      <w:r w:rsidRPr="007845BC">
        <w:rPr>
          <w:b/>
          <w:lang w:eastAsia="zh-CN"/>
        </w:rPr>
        <w:t xml:space="preserve">: The </w:t>
      </w:r>
      <w:r>
        <w:rPr>
          <w:b/>
          <w:lang w:eastAsia="zh-CN"/>
        </w:rPr>
        <w:t>MII mechanism could be reused to report the ISA ID of the UE.</w:t>
      </w:r>
    </w:p>
    <w:p w14:paraId="712D74FC" w14:textId="34F41C3B" w:rsidR="00CC1017" w:rsidRPr="009539A0" w:rsidRDefault="00CC1017" w:rsidP="009539A0">
      <w:pPr>
        <w:spacing w:beforeLines="50" w:before="120"/>
        <w:jc w:val="both"/>
        <w:rPr>
          <w:b/>
          <w:lang w:eastAsia="zh-CN"/>
        </w:rPr>
      </w:pPr>
      <w:r w:rsidRPr="007845BC">
        <w:rPr>
          <w:b/>
          <w:lang w:eastAsia="zh-CN"/>
        </w:rPr>
        <w:t xml:space="preserve">Proposal </w:t>
      </w:r>
      <w:r>
        <w:rPr>
          <w:b/>
          <w:lang w:eastAsia="zh-CN"/>
        </w:rPr>
        <w:t>4</w:t>
      </w:r>
      <w:r w:rsidRPr="007845BC">
        <w:rPr>
          <w:b/>
          <w:lang w:eastAsia="zh-CN"/>
        </w:rPr>
        <w:t xml:space="preserve">: </w:t>
      </w:r>
      <w:r w:rsidRPr="00284ACE">
        <w:rPr>
          <w:b/>
          <w:lang w:eastAsia="zh-CN"/>
        </w:rPr>
        <w:t xml:space="preserve">UE </w:t>
      </w:r>
      <w:r>
        <w:rPr>
          <w:b/>
          <w:lang w:eastAsia="zh-CN"/>
        </w:rPr>
        <w:t xml:space="preserve">could </w:t>
      </w:r>
      <w:r w:rsidRPr="00284ACE">
        <w:rPr>
          <w:b/>
          <w:lang w:eastAsia="zh-CN"/>
        </w:rPr>
        <w:t>use the intended service area list related to one specific broadcast service in the USD to avoid acquiring the MCCH when UE is outside the MBS service area of this MBS broadcast service.</w:t>
      </w:r>
    </w:p>
    <w:p w14:paraId="56DACC97" w14:textId="310E1D9C" w:rsidR="008A48D8" w:rsidRDefault="00B42365">
      <w:pPr>
        <w:pStyle w:val="1"/>
        <w:pBdr>
          <w:top w:val="single" w:sz="12" w:space="5" w:color="auto"/>
        </w:pBdr>
        <w:jc w:val="both"/>
        <w:rPr>
          <w:lang w:val="en-US"/>
        </w:rPr>
      </w:pPr>
      <w:r>
        <w:rPr>
          <w:lang w:val="en-US"/>
        </w:rPr>
        <w:t>4</w:t>
      </w:r>
      <w:r w:rsidR="001D7BC3">
        <w:rPr>
          <w:lang w:val="en-US"/>
        </w:rPr>
        <w:tab/>
        <w:t>References</w:t>
      </w:r>
    </w:p>
    <w:p w14:paraId="3E946B14" w14:textId="2D5B4E9B" w:rsidR="00937046" w:rsidRPr="00E66300" w:rsidRDefault="003D602C" w:rsidP="003D602C">
      <w:pPr>
        <w:pStyle w:val="af7"/>
        <w:numPr>
          <w:ilvl w:val="0"/>
          <w:numId w:val="8"/>
        </w:numPr>
        <w:ind w:firstLineChars="0"/>
        <w:jc w:val="both"/>
        <w:rPr>
          <w:lang w:eastAsia="zh-CN"/>
        </w:rPr>
      </w:pPr>
      <w:r w:rsidRPr="003D602C">
        <w:rPr>
          <w:lang w:eastAsia="zh-CN"/>
        </w:rPr>
        <w:t>3GPP TS 38.331: "NR; Radio Resource Control (RRC); Protocol specification".</w:t>
      </w: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53A34" w14:textId="77777777" w:rsidR="0092383B" w:rsidRDefault="0092383B" w:rsidP="002E4526">
      <w:pPr>
        <w:spacing w:after="0"/>
      </w:pPr>
      <w:r>
        <w:separator/>
      </w:r>
    </w:p>
  </w:endnote>
  <w:endnote w:type="continuationSeparator" w:id="0">
    <w:p w14:paraId="5F84920E" w14:textId="77777777" w:rsidR="0092383B" w:rsidRDefault="0092383B" w:rsidP="002E4526">
      <w:pPr>
        <w:spacing w:after="0"/>
      </w:pPr>
      <w:r>
        <w:continuationSeparator/>
      </w:r>
    </w:p>
  </w:endnote>
  <w:endnote w:type="continuationNotice" w:id="1">
    <w:p w14:paraId="77FCF8A4" w14:textId="77777777" w:rsidR="0092383B" w:rsidRDefault="00923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8D5EC" w14:textId="77777777" w:rsidR="0092383B" w:rsidRDefault="0092383B" w:rsidP="002E4526">
      <w:pPr>
        <w:spacing w:after="0"/>
      </w:pPr>
      <w:r>
        <w:separator/>
      </w:r>
    </w:p>
  </w:footnote>
  <w:footnote w:type="continuationSeparator" w:id="0">
    <w:p w14:paraId="2D7E9D2E" w14:textId="77777777" w:rsidR="0092383B" w:rsidRDefault="0092383B" w:rsidP="002E4526">
      <w:pPr>
        <w:spacing w:after="0"/>
      </w:pPr>
      <w:r>
        <w:continuationSeparator/>
      </w:r>
    </w:p>
  </w:footnote>
  <w:footnote w:type="continuationNotice" w:id="1">
    <w:p w14:paraId="331C71AF" w14:textId="77777777" w:rsidR="0092383B" w:rsidRDefault="009238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3A037C1"/>
    <w:multiLevelType w:val="hybridMultilevel"/>
    <w:tmpl w:val="1BA86076"/>
    <w:lvl w:ilvl="0" w:tplc="04090009">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47151C"/>
    <w:multiLevelType w:val="hybridMultilevel"/>
    <w:tmpl w:val="AFE6AB60"/>
    <w:lvl w:ilvl="0" w:tplc="BAD40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58D6BEF"/>
    <w:multiLevelType w:val="hybridMultilevel"/>
    <w:tmpl w:val="F51A9D9C"/>
    <w:lvl w:ilvl="0" w:tplc="E7A6523C">
      <w:start w:val="1"/>
      <w:numFmt w:val="bullet"/>
      <w:lvlText w:val=""/>
      <w:lvlJc w:val="left"/>
      <w:pPr>
        <w:tabs>
          <w:tab w:val="num" w:pos="720"/>
        </w:tabs>
        <w:ind w:left="720" w:hanging="360"/>
      </w:pPr>
      <w:rPr>
        <w:rFonts w:ascii="Wingdings" w:hAnsi="Wingdings" w:hint="default"/>
      </w:rPr>
    </w:lvl>
    <w:lvl w:ilvl="1" w:tplc="2ED063A6">
      <w:start w:val="1"/>
      <w:numFmt w:val="bullet"/>
      <w:lvlText w:val=""/>
      <w:lvlJc w:val="left"/>
      <w:pPr>
        <w:tabs>
          <w:tab w:val="num" w:pos="1440"/>
        </w:tabs>
        <w:ind w:left="1440" w:hanging="360"/>
      </w:pPr>
      <w:rPr>
        <w:rFonts w:ascii="Wingdings" w:hAnsi="Wingdings" w:hint="default"/>
      </w:rPr>
    </w:lvl>
    <w:lvl w:ilvl="2" w:tplc="560A4616">
      <w:numFmt w:val="bullet"/>
      <w:lvlText w:val=""/>
      <w:lvlJc w:val="left"/>
      <w:pPr>
        <w:tabs>
          <w:tab w:val="num" w:pos="2160"/>
        </w:tabs>
        <w:ind w:left="2160" w:hanging="360"/>
      </w:pPr>
      <w:rPr>
        <w:rFonts w:ascii="Wingdings" w:hAnsi="Wingdings" w:hint="default"/>
      </w:rPr>
    </w:lvl>
    <w:lvl w:ilvl="3" w:tplc="11381628" w:tentative="1">
      <w:start w:val="1"/>
      <w:numFmt w:val="bullet"/>
      <w:lvlText w:val=""/>
      <w:lvlJc w:val="left"/>
      <w:pPr>
        <w:tabs>
          <w:tab w:val="num" w:pos="2880"/>
        </w:tabs>
        <w:ind w:left="2880" w:hanging="360"/>
      </w:pPr>
      <w:rPr>
        <w:rFonts w:ascii="Wingdings" w:hAnsi="Wingdings" w:hint="default"/>
      </w:rPr>
    </w:lvl>
    <w:lvl w:ilvl="4" w:tplc="625A8738" w:tentative="1">
      <w:start w:val="1"/>
      <w:numFmt w:val="bullet"/>
      <w:lvlText w:val=""/>
      <w:lvlJc w:val="left"/>
      <w:pPr>
        <w:tabs>
          <w:tab w:val="num" w:pos="3600"/>
        </w:tabs>
        <w:ind w:left="3600" w:hanging="360"/>
      </w:pPr>
      <w:rPr>
        <w:rFonts w:ascii="Wingdings" w:hAnsi="Wingdings" w:hint="default"/>
      </w:rPr>
    </w:lvl>
    <w:lvl w:ilvl="5" w:tplc="D8C6E732" w:tentative="1">
      <w:start w:val="1"/>
      <w:numFmt w:val="bullet"/>
      <w:lvlText w:val=""/>
      <w:lvlJc w:val="left"/>
      <w:pPr>
        <w:tabs>
          <w:tab w:val="num" w:pos="4320"/>
        </w:tabs>
        <w:ind w:left="4320" w:hanging="360"/>
      </w:pPr>
      <w:rPr>
        <w:rFonts w:ascii="Wingdings" w:hAnsi="Wingdings" w:hint="default"/>
      </w:rPr>
    </w:lvl>
    <w:lvl w:ilvl="6" w:tplc="F7540DB8" w:tentative="1">
      <w:start w:val="1"/>
      <w:numFmt w:val="bullet"/>
      <w:lvlText w:val=""/>
      <w:lvlJc w:val="left"/>
      <w:pPr>
        <w:tabs>
          <w:tab w:val="num" w:pos="5040"/>
        </w:tabs>
        <w:ind w:left="5040" w:hanging="360"/>
      </w:pPr>
      <w:rPr>
        <w:rFonts w:ascii="Wingdings" w:hAnsi="Wingdings" w:hint="default"/>
      </w:rPr>
    </w:lvl>
    <w:lvl w:ilvl="7" w:tplc="8F8A2B72" w:tentative="1">
      <w:start w:val="1"/>
      <w:numFmt w:val="bullet"/>
      <w:lvlText w:val=""/>
      <w:lvlJc w:val="left"/>
      <w:pPr>
        <w:tabs>
          <w:tab w:val="num" w:pos="5760"/>
        </w:tabs>
        <w:ind w:left="5760" w:hanging="360"/>
      </w:pPr>
      <w:rPr>
        <w:rFonts w:ascii="Wingdings" w:hAnsi="Wingdings" w:hint="default"/>
      </w:rPr>
    </w:lvl>
    <w:lvl w:ilvl="8" w:tplc="0FD84C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337B86"/>
    <w:multiLevelType w:val="hybridMultilevel"/>
    <w:tmpl w:val="41220224"/>
    <w:lvl w:ilvl="0" w:tplc="75FCE104">
      <w:start w:val="1"/>
      <w:numFmt w:val="bullet"/>
      <w:lvlText w:val=""/>
      <w:lvlJc w:val="left"/>
      <w:pPr>
        <w:tabs>
          <w:tab w:val="num" w:pos="720"/>
        </w:tabs>
        <w:ind w:left="720" w:hanging="360"/>
      </w:pPr>
      <w:rPr>
        <w:rFonts w:ascii="Wingdings" w:hAnsi="Wingdings" w:hint="default"/>
      </w:rPr>
    </w:lvl>
    <w:lvl w:ilvl="1" w:tplc="EAF67A84">
      <w:start w:val="1"/>
      <w:numFmt w:val="bullet"/>
      <w:lvlText w:val=""/>
      <w:lvlJc w:val="left"/>
      <w:pPr>
        <w:tabs>
          <w:tab w:val="num" w:pos="1440"/>
        </w:tabs>
        <w:ind w:left="1440" w:hanging="360"/>
      </w:pPr>
      <w:rPr>
        <w:rFonts w:ascii="Wingdings" w:hAnsi="Wingdings" w:hint="default"/>
      </w:rPr>
    </w:lvl>
    <w:lvl w:ilvl="2" w:tplc="BC6AE358">
      <w:start w:val="1"/>
      <w:numFmt w:val="bullet"/>
      <w:lvlText w:val=""/>
      <w:lvlJc w:val="left"/>
      <w:pPr>
        <w:tabs>
          <w:tab w:val="num" w:pos="2160"/>
        </w:tabs>
        <w:ind w:left="2160" w:hanging="360"/>
      </w:pPr>
      <w:rPr>
        <w:rFonts w:ascii="Wingdings" w:hAnsi="Wingdings" w:hint="default"/>
      </w:rPr>
    </w:lvl>
    <w:lvl w:ilvl="3" w:tplc="39A61CAA" w:tentative="1">
      <w:start w:val="1"/>
      <w:numFmt w:val="bullet"/>
      <w:lvlText w:val=""/>
      <w:lvlJc w:val="left"/>
      <w:pPr>
        <w:tabs>
          <w:tab w:val="num" w:pos="2880"/>
        </w:tabs>
        <w:ind w:left="2880" w:hanging="360"/>
      </w:pPr>
      <w:rPr>
        <w:rFonts w:ascii="Wingdings" w:hAnsi="Wingdings" w:hint="default"/>
      </w:rPr>
    </w:lvl>
    <w:lvl w:ilvl="4" w:tplc="0180099E" w:tentative="1">
      <w:start w:val="1"/>
      <w:numFmt w:val="bullet"/>
      <w:lvlText w:val=""/>
      <w:lvlJc w:val="left"/>
      <w:pPr>
        <w:tabs>
          <w:tab w:val="num" w:pos="3600"/>
        </w:tabs>
        <w:ind w:left="3600" w:hanging="360"/>
      </w:pPr>
      <w:rPr>
        <w:rFonts w:ascii="Wingdings" w:hAnsi="Wingdings" w:hint="default"/>
      </w:rPr>
    </w:lvl>
    <w:lvl w:ilvl="5" w:tplc="76EEEE68" w:tentative="1">
      <w:start w:val="1"/>
      <w:numFmt w:val="bullet"/>
      <w:lvlText w:val=""/>
      <w:lvlJc w:val="left"/>
      <w:pPr>
        <w:tabs>
          <w:tab w:val="num" w:pos="4320"/>
        </w:tabs>
        <w:ind w:left="4320" w:hanging="360"/>
      </w:pPr>
      <w:rPr>
        <w:rFonts w:ascii="Wingdings" w:hAnsi="Wingdings" w:hint="default"/>
      </w:rPr>
    </w:lvl>
    <w:lvl w:ilvl="6" w:tplc="89F4CF2E" w:tentative="1">
      <w:start w:val="1"/>
      <w:numFmt w:val="bullet"/>
      <w:lvlText w:val=""/>
      <w:lvlJc w:val="left"/>
      <w:pPr>
        <w:tabs>
          <w:tab w:val="num" w:pos="5040"/>
        </w:tabs>
        <w:ind w:left="5040" w:hanging="360"/>
      </w:pPr>
      <w:rPr>
        <w:rFonts w:ascii="Wingdings" w:hAnsi="Wingdings" w:hint="default"/>
      </w:rPr>
    </w:lvl>
    <w:lvl w:ilvl="7" w:tplc="BA54A222" w:tentative="1">
      <w:start w:val="1"/>
      <w:numFmt w:val="bullet"/>
      <w:lvlText w:val=""/>
      <w:lvlJc w:val="left"/>
      <w:pPr>
        <w:tabs>
          <w:tab w:val="num" w:pos="5760"/>
        </w:tabs>
        <w:ind w:left="5760" w:hanging="360"/>
      </w:pPr>
      <w:rPr>
        <w:rFonts w:ascii="Wingdings" w:hAnsi="Wingdings" w:hint="default"/>
      </w:rPr>
    </w:lvl>
    <w:lvl w:ilvl="8" w:tplc="80385AA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EFF0EFE"/>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004D71"/>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2"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3155C7"/>
    <w:multiLevelType w:val="hybridMultilevel"/>
    <w:tmpl w:val="4D0E9C8C"/>
    <w:lvl w:ilvl="0" w:tplc="EC82E99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6"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1" w15:restartNumberingAfterBreak="0">
    <w:nsid w:val="76335DFE"/>
    <w:multiLevelType w:val="hybridMultilevel"/>
    <w:tmpl w:val="53EAD0DC"/>
    <w:lvl w:ilvl="0" w:tplc="42680D26">
      <w:start w:val="1"/>
      <w:numFmt w:val="bullet"/>
      <w:lvlText w:val=""/>
      <w:lvlJc w:val="left"/>
      <w:pPr>
        <w:tabs>
          <w:tab w:val="num" w:pos="720"/>
        </w:tabs>
        <w:ind w:left="720" w:hanging="360"/>
      </w:pPr>
      <w:rPr>
        <w:rFonts w:ascii="Wingdings" w:hAnsi="Wingdings" w:hint="default"/>
      </w:rPr>
    </w:lvl>
    <w:lvl w:ilvl="1" w:tplc="EF145140">
      <w:start w:val="1"/>
      <w:numFmt w:val="bullet"/>
      <w:lvlText w:val=""/>
      <w:lvlJc w:val="left"/>
      <w:pPr>
        <w:tabs>
          <w:tab w:val="num" w:pos="1440"/>
        </w:tabs>
        <w:ind w:left="1440" w:hanging="360"/>
      </w:pPr>
      <w:rPr>
        <w:rFonts w:ascii="Wingdings" w:hAnsi="Wingdings" w:hint="default"/>
      </w:rPr>
    </w:lvl>
    <w:lvl w:ilvl="2" w:tplc="5A20D738">
      <w:numFmt w:val="bullet"/>
      <w:lvlText w:val=""/>
      <w:lvlJc w:val="left"/>
      <w:pPr>
        <w:tabs>
          <w:tab w:val="num" w:pos="2160"/>
        </w:tabs>
        <w:ind w:left="2160" w:hanging="360"/>
      </w:pPr>
      <w:rPr>
        <w:rFonts w:ascii="Wingdings" w:hAnsi="Wingdings" w:hint="default"/>
      </w:rPr>
    </w:lvl>
    <w:lvl w:ilvl="3" w:tplc="37342BB8" w:tentative="1">
      <w:start w:val="1"/>
      <w:numFmt w:val="bullet"/>
      <w:lvlText w:val=""/>
      <w:lvlJc w:val="left"/>
      <w:pPr>
        <w:tabs>
          <w:tab w:val="num" w:pos="2880"/>
        </w:tabs>
        <w:ind w:left="2880" w:hanging="360"/>
      </w:pPr>
      <w:rPr>
        <w:rFonts w:ascii="Wingdings" w:hAnsi="Wingdings" w:hint="default"/>
      </w:rPr>
    </w:lvl>
    <w:lvl w:ilvl="4" w:tplc="A032205E" w:tentative="1">
      <w:start w:val="1"/>
      <w:numFmt w:val="bullet"/>
      <w:lvlText w:val=""/>
      <w:lvlJc w:val="left"/>
      <w:pPr>
        <w:tabs>
          <w:tab w:val="num" w:pos="3600"/>
        </w:tabs>
        <w:ind w:left="3600" w:hanging="360"/>
      </w:pPr>
      <w:rPr>
        <w:rFonts w:ascii="Wingdings" w:hAnsi="Wingdings" w:hint="default"/>
      </w:rPr>
    </w:lvl>
    <w:lvl w:ilvl="5" w:tplc="41604B44" w:tentative="1">
      <w:start w:val="1"/>
      <w:numFmt w:val="bullet"/>
      <w:lvlText w:val=""/>
      <w:lvlJc w:val="left"/>
      <w:pPr>
        <w:tabs>
          <w:tab w:val="num" w:pos="4320"/>
        </w:tabs>
        <w:ind w:left="4320" w:hanging="360"/>
      </w:pPr>
      <w:rPr>
        <w:rFonts w:ascii="Wingdings" w:hAnsi="Wingdings" w:hint="default"/>
      </w:rPr>
    </w:lvl>
    <w:lvl w:ilvl="6" w:tplc="E43EAA9E" w:tentative="1">
      <w:start w:val="1"/>
      <w:numFmt w:val="bullet"/>
      <w:lvlText w:val=""/>
      <w:lvlJc w:val="left"/>
      <w:pPr>
        <w:tabs>
          <w:tab w:val="num" w:pos="5040"/>
        </w:tabs>
        <w:ind w:left="5040" w:hanging="360"/>
      </w:pPr>
      <w:rPr>
        <w:rFonts w:ascii="Wingdings" w:hAnsi="Wingdings" w:hint="default"/>
      </w:rPr>
    </w:lvl>
    <w:lvl w:ilvl="7" w:tplc="10D03E9A" w:tentative="1">
      <w:start w:val="1"/>
      <w:numFmt w:val="bullet"/>
      <w:lvlText w:val=""/>
      <w:lvlJc w:val="left"/>
      <w:pPr>
        <w:tabs>
          <w:tab w:val="num" w:pos="5760"/>
        </w:tabs>
        <w:ind w:left="5760" w:hanging="360"/>
      </w:pPr>
      <w:rPr>
        <w:rFonts w:ascii="Wingdings" w:hAnsi="Wingdings" w:hint="default"/>
      </w:rPr>
    </w:lvl>
    <w:lvl w:ilvl="8" w:tplc="FA3EC8C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3A08BEFA"/>
    <w:lvl w:ilvl="0" w:tplc="436E33D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68217C"/>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C8A7CE6"/>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9191203">
    <w:abstractNumId w:val="23"/>
  </w:num>
  <w:num w:numId="2" w16cid:durableId="413556397">
    <w:abstractNumId w:val="17"/>
    <w:lvlOverride w:ilvl="0">
      <w:startOverride w:val="1"/>
    </w:lvlOverride>
  </w:num>
  <w:num w:numId="3" w16cid:durableId="1690135985">
    <w:abstractNumId w:val="16"/>
  </w:num>
  <w:num w:numId="4" w16cid:durableId="1531456351">
    <w:abstractNumId w:val="9"/>
  </w:num>
  <w:num w:numId="5" w16cid:durableId="965157241">
    <w:abstractNumId w:val="0"/>
  </w:num>
  <w:num w:numId="6" w16cid:durableId="126313394">
    <w:abstractNumId w:val="22"/>
  </w:num>
  <w:num w:numId="7" w16cid:durableId="98764650">
    <w:abstractNumId w:val="35"/>
  </w:num>
  <w:num w:numId="8" w16cid:durableId="1469085107">
    <w:abstractNumId w:val="10"/>
    <w:lvlOverride w:ilvl="0">
      <w:startOverride w:val="1"/>
    </w:lvlOverride>
    <w:lvlOverride w:ilvl="1"/>
    <w:lvlOverride w:ilvl="2"/>
    <w:lvlOverride w:ilvl="3"/>
    <w:lvlOverride w:ilvl="4"/>
    <w:lvlOverride w:ilvl="5"/>
    <w:lvlOverride w:ilvl="6"/>
    <w:lvlOverride w:ilvl="7"/>
    <w:lvlOverride w:ilvl="8"/>
  </w:num>
  <w:num w:numId="9" w16cid:durableId="1489832587">
    <w:abstractNumId w:val="28"/>
  </w:num>
  <w:num w:numId="10" w16cid:durableId="22174566">
    <w:abstractNumId w:val="27"/>
  </w:num>
  <w:num w:numId="11" w16cid:durableId="2097554696">
    <w:abstractNumId w:val="5"/>
  </w:num>
  <w:num w:numId="12" w16cid:durableId="518351000">
    <w:abstractNumId w:val="21"/>
  </w:num>
  <w:num w:numId="13" w16cid:durableId="1979526008">
    <w:abstractNumId w:val="36"/>
  </w:num>
  <w:num w:numId="14" w16cid:durableId="549541223">
    <w:abstractNumId w:val="15"/>
  </w:num>
  <w:num w:numId="15" w16cid:durableId="660933634">
    <w:abstractNumId w:val="24"/>
  </w:num>
  <w:num w:numId="16" w16cid:durableId="24643259">
    <w:abstractNumId w:val="26"/>
  </w:num>
  <w:num w:numId="17" w16cid:durableId="956911799">
    <w:abstractNumId w:val="29"/>
  </w:num>
  <w:num w:numId="18" w16cid:durableId="1947275519">
    <w:abstractNumId w:val="6"/>
  </w:num>
  <w:num w:numId="19" w16cid:durableId="176505289">
    <w:abstractNumId w:val="8"/>
  </w:num>
  <w:num w:numId="20" w16cid:durableId="1426150347">
    <w:abstractNumId w:val="20"/>
  </w:num>
  <w:num w:numId="21" w16cid:durableId="2045014628">
    <w:abstractNumId w:val="11"/>
  </w:num>
  <w:num w:numId="22" w16cid:durableId="1633706541">
    <w:abstractNumId w:val="7"/>
  </w:num>
  <w:num w:numId="23" w16cid:durableId="1335064821">
    <w:abstractNumId w:val="30"/>
  </w:num>
  <w:num w:numId="24" w16cid:durableId="1242518453">
    <w:abstractNumId w:val="2"/>
  </w:num>
  <w:num w:numId="25" w16cid:durableId="652372319">
    <w:abstractNumId w:val="32"/>
  </w:num>
  <w:num w:numId="26" w16cid:durableId="999194420">
    <w:abstractNumId w:val="12"/>
  </w:num>
  <w:num w:numId="27" w16cid:durableId="930970792">
    <w:abstractNumId w:val="3"/>
  </w:num>
  <w:num w:numId="28" w16cid:durableId="690961837">
    <w:abstractNumId w:val="19"/>
  </w:num>
  <w:num w:numId="29" w16cid:durableId="216745285">
    <w:abstractNumId w:val="25"/>
  </w:num>
  <w:num w:numId="30" w16cid:durableId="569274536">
    <w:abstractNumId w:val="13"/>
  </w:num>
  <w:num w:numId="31" w16cid:durableId="291710248">
    <w:abstractNumId w:val="18"/>
  </w:num>
  <w:num w:numId="32" w16cid:durableId="1857696846">
    <w:abstractNumId w:val="34"/>
  </w:num>
  <w:num w:numId="33" w16cid:durableId="1996687097">
    <w:abstractNumId w:val="33"/>
  </w:num>
  <w:num w:numId="34" w16cid:durableId="316034077">
    <w:abstractNumId w:val="4"/>
  </w:num>
  <w:num w:numId="35" w16cid:durableId="819466563">
    <w:abstractNumId w:val="31"/>
  </w:num>
  <w:num w:numId="36" w16cid:durableId="1044907902">
    <w:abstractNumId w:val="1"/>
  </w:num>
  <w:num w:numId="37" w16cid:durableId="1889952055">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0D20"/>
    <w:rsid w:val="00011B10"/>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3FB"/>
    <w:rsid w:val="00026D67"/>
    <w:rsid w:val="00027283"/>
    <w:rsid w:val="0002739E"/>
    <w:rsid w:val="0002750F"/>
    <w:rsid w:val="000279D4"/>
    <w:rsid w:val="0003032A"/>
    <w:rsid w:val="00030DA6"/>
    <w:rsid w:val="00031206"/>
    <w:rsid w:val="00031482"/>
    <w:rsid w:val="000315B0"/>
    <w:rsid w:val="000315CD"/>
    <w:rsid w:val="00031FAB"/>
    <w:rsid w:val="00032147"/>
    <w:rsid w:val="000322C5"/>
    <w:rsid w:val="00032666"/>
    <w:rsid w:val="000329C3"/>
    <w:rsid w:val="00032F80"/>
    <w:rsid w:val="00033397"/>
    <w:rsid w:val="0003341C"/>
    <w:rsid w:val="00033852"/>
    <w:rsid w:val="00033BDD"/>
    <w:rsid w:val="00033E43"/>
    <w:rsid w:val="0003459F"/>
    <w:rsid w:val="00034A2E"/>
    <w:rsid w:val="00035C82"/>
    <w:rsid w:val="00035E2B"/>
    <w:rsid w:val="00037049"/>
    <w:rsid w:val="00037428"/>
    <w:rsid w:val="00037480"/>
    <w:rsid w:val="0003761D"/>
    <w:rsid w:val="00037DBA"/>
    <w:rsid w:val="00040095"/>
    <w:rsid w:val="000402F2"/>
    <w:rsid w:val="00040946"/>
    <w:rsid w:val="00040B60"/>
    <w:rsid w:val="00042900"/>
    <w:rsid w:val="00043FDE"/>
    <w:rsid w:val="00044374"/>
    <w:rsid w:val="00044F44"/>
    <w:rsid w:val="0004523D"/>
    <w:rsid w:val="00045352"/>
    <w:rsid w:val="00046087"/>
    <w:rsid w:val="000464E9"/>
    <w:rsid w:val="000474C8"/>
    <w:rsid w:val="00050BD2"/>
    <w:rsid w:val="00050C43"/>
    <w:rsid w:val="0005117F"/>
    <w:rsid w:val="0005168E"/>
    <w:rsid w:val="00051A6E"/>
    <w:rsid w:val="00051A78"/>
    <w:rsid w:val="000526FF"/>
    <w:rsid w:val="00053377"/>
    <w:rsid w:val="000537CF"/>
    <w:rsid w:val="000544D7"/>
    <w:rsid w:val="00055587"/>
    <w:rsid w:val="0005630E"/>
    <w:rsid w:val="00056FAC"/>
    <w:rsid w:val="0005732C"/>
    <w:rsid w:val="00057E8A"/>
    <w:rsid w:val="000601D9"/>
    <w:rsid w:val="00060477"/>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B1C"/>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29"/>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554B"/>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EB5"/>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6CF"/>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5B4"/>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0D46"/>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5C"/>
    <w:rsid w:val="00124DF5"/>
    <w:rsid w:val="00124F8D"/>
    <w:rsid w:val="001256A6"/>
    <w:rsid w:val="00125BF1"/>
    <w:rsid w:val="00126257"/>
    <w:rsid w:val="0012666A"/>
    <w:rsid w:val="001269C0"/>
    <w:rsid w:val="00126DD9"/>
    <w:rsid w:val="00127CE8"/>
    <w:rsid w:val="001304B4"/>
    <w:rsid w:val="001306FB"/>
    <w:rsid w:val="00130880"/>
    <w:rsid w:val="00130D97"/>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A91"/>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76"/>
    <w:rsid w:val="0016594A"/>
    <w:rsid w:val="00165E56"/>
    <w:rsid w:val="00166A8A"/>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D8"/>
    <w:rsid w:val="001800FF"/>
    <w:rsid w:val="0018019E"/>
    <w:rsid w:val="00180486"/>
    <w:rsid w:val="00180610"/>
    <w:rsid w:val="00181102"/>
    <w:rsid w:val="00181309"/>
    <w:rsid w:val="0018136F"/>
    <w:rsid w:val="001813C4"/>
    <w:rsid w:val="001819AA"/>
    <w:rsid w:val="00182E10"/>
    <w:rsid w:val="00182F36"/>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2F38"/>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027"/>
    <w:rsid w:val="001D3319"/>
    <w:rsid w:val="001D3328"/>
    <w:rsid w:val="001D33C4"/>
    <w:rsid w:val="001D3FBF"/>
    <w:rsid w:val="001D4720"/>
    <w:rsid w:val="001D530C"/>
    <w:rsid w:val="001D5888"/>
    <w:rsid w:val="001D5EF5"/>
    <w:rsid w:val="001D68CD"/>
    <w:rsid w:val="001D68CE"/>
    <w:rsid w:val="001D6FE8"/>
    <w:rsid w:val="001D726A"/>
    <w:rsid w:val="001D727E"/>
    <w:rsid w:val="001D7281"/>
    <w:rsid w:val="001D7811"/>
    <w:rsid w:val="001D78B3"/>
    <w:rsid w:val="001D7A03"/>
    <w:rsid w:val="001D7BC3"/>
    <w:rsid w:val="001E02F8"/>
    <w:rsid w:val="001E0CD1"/>
    <w:rsid w:val="001E0CF6"/>
    <w:rsid w:val="001E10AF"/>
    <w:rsid w:val="001E17F8"/>
    <w:rsid w:val="001E1C28"/>
    <w:rsid w:val="001E1D2C"/>
    <w:rsid w:val="001E2A6C"/>
    <w:rsid w:val="001E30E9"/>
    <w:rsid w:val="001E33D5"/>
    <w:rsid w:val="001E374A"/>
    <w:rsid w:val="001E3808"/>
    <w:rsid w:val="001E3851"/>
    <w:rsid w:val="001E394F"/>
    <w:rsid w:val="001E3D59"/>
    <w:rsid w:val="001E3FEE"/>
    <w:rsid w:val="001E4836"/>
    <w:rsid w:val="001E4CD2"/>
    <w:rsid w:val="001E4FA2"/>
    <w:rsid w:val="001E56B1"/>
    <w:rsid w:val="001E6ADB"/>
    <w:rsid w:val="001E7288"/>
    <w:rsid w:val="001F0F02"/>
    <w:rsid w:val="001F0FB3"/>
    <w:rsid w:val="001F168B"/>
    <w:rsid w:val="001F16A9"/>
    <w:rsid w:val="001F1BDA"/>
    <w:rsid w:val="001F3BCC"/>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07F87"/>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17775"/>
    <w:rsid w:val="002200BF"/>
    <w:rsid w:val="00220807"/>
    <w:rsid w:val="0022101E"/>
    <w:rsid w:val="002213AF"/>
    <w:rsid w:val="00221556"/>
    <w:rsid w:val="00222051"/>
    <w:rsid w:val="00222456"/>
    <w:rsid w:val="002227E5"/>
    <w:rsid w:val="002227F6"/>
    <w:rsid w:val="00222846"/>
    <w:rsid w:val="00223051"/>
    <w:rsid w:val="0022372D"/>
    <w:rsid w:val="002254E4"/>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5BB7"/>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41C"/>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4ACE"/>
    <w:rsid w:val="002853A4"/>
    <w:rsid w:val="002855BF"/>
    <w:rsid w:val="00285A8D"/>
    <w:rsid w:val="00285EF6"/>
    <w:rsid w:val="0028621A"/>
    <w:rsid w:val="00286565"/>
    <w:rsid w:val="00286E70"/>
    <w:rsid w:val="00287229"/>
    <w:rsid w:val="002874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251"/>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3503"/>
    <w:rsid w:val="002C41B0"/>
    <w:rsid w:val="002C4E9C"/>
    <w:rsid w:val="002C61B3"/>
    <w:rsid w:val="002C62EF"/>
    <w:rsid w:val="002C65A8"/>
    <w:rsid w:val="002C6A45"/>
    <w:rsid w:val="002C71F0"/>
    <w:rsid w:val="002C7251"/>
    <w:rsid w:val="002C725E"/>
    <w:rsid w:val="002C76AE"/>
    <w:rsid w:val="002C7C74"/>
    <w:rsid w:val="002C7D7D"/>
    <w:rsid w:val="002D0280"/>
    <w:rsid w:val="002D08A1"/>
    <w:rsid w:val="002D09CB"/>
    <w:rsid w:val="002D10E0"/>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D5"/>
    <w:rsid w:val="002E02B7"/>
    <w:rsid w:val="002E0439"/>
    <w:rsid w:val="002E07E3"/>
    <w:rsid w:val="002E13B0"/>
    <w:rsid w:val="002E1810"/>
    <w:rsid w:val="002E1EA8"/>
    <w:rsid w:val="002E213A"/>
    <w:rsid w:val="002E31E8"/>
    <w:rsid w:val="002E3615"/>
    <w:rsid w:val="002E4526"/>
    <w:rsid w:val="002E5762"/>
    <w:rsid w:val="002E627F"/>
    <w:rsid w:val="002E65DA"/>
    <w:rsid w:val="002E663F"/>
    <w:rsid w:val="002E7210"/>
    <w:rsid w:val="002E7EBF"/>
    <w:rsid w:val="002F0561"/>
    <w:rsid w:val="002F06A1"/>
    <w:rsid w:val="002F0853"/>
    <w:rsid w:val="002F0D22"/>
    <w:rsid w:val="002F12A9"/>
    <w:rsid w:val="002F141F"/>
    <w:rsid w:val="002F1613"/>
    <w:rsid w:val="002F167D"/>
    <w:rsid w:val="002F1F95"/>
    <w:rsid w:val="002F206E"/>
    <w:rsid w:val="002F21F6"/>
    <w:rsid w:val="002F22C3"/>
    <w:rsid w:val="002F23C1"/>
    <w:rsid w:val="002F2B73"/>
    <w:rsid w:val="002F2D5A"/>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AAA"/>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9B"/>
    <w:rsid w:val="00306682"/>
    <w:rsid w:val="003077AF"/>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3E3"/>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7A4"/>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37EE4"/>
    <w:rsid w:val="0034016F"/>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36B"/>
    <w:rsid w:val="003648A2"/>
    <w:rsid w:val="00364B41"/>
    <w:rsid w:val="00364C69"/>
    <w:rsid w:val="00364D43"/>
    <w:rsid w:val="00364ED8"/>
    <w:rsid w:val="00364EFE"/>
    <w:rsid w:val="00365164"/>
    <w:rsid w:val="00365516"/>
    <w:rsid w:val="003663D5"/>
    <w:rsid w:val="00366C10"/>
    <w:rsid w:val="00366C77"/>
    <w:rsid w:val="00367899"/>
    <w:rsid w:val="0037041D"/>
    <w:rsid w:val="00370E87"/>
    <w:rsid w:val="00371313"/>
    <w:rsid w:val="00371334"/>
    <w:rsid w:val="00371C6A"/>
    <w:rsid w:val="00371D50"/>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5C0"/>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C3D"/>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9A6"/>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73B"/>
    <w:rsid w:val="003C1D79"/>
    <w:rsid w:val="003C1EA1"/>
    <w:rsid w:val="003C1EE0"/>
    <w:rsid w:val="003C1F0D"/>
    <w:rsid w:val="003C2803"/>
    <w:rsid w:val="003C2BCB"/>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1FED"/>
    <w:rsid w:val="003D279D"/>
    <w:rsid w:val="003D2E2B"/>
    <w:rsid w:val="003D3EAB"/>
    <w:rsid w:val="003D3F17"/>
    <w:rsid w:val="003D49F2"/>
    <w:rsid w:val="003D4EEE"/>
    <w:rsid w:val="003D52A1"/>
    <w:rsid w:val="003D5B3C"/>
    <w:rsid w:val="003D602C"/>
    <w:rsid w:val="003D614E"/>
    <w:rsid w:val="003D7521"/>
    <w:rsid w:val="003D7B54"/>
    <w:rsid w:val="003E06BC"/>
    <w:rsid w:val="003E0BF6"/>
    <w:rsid w:val="003E16BE"/>
    <w:rsid w:val="003E1A4D"/>
    <w:rsid w:val="003E2A2C"/>
    <w:rsid w:val="003E3336"/>
    <w:rsid w:val="003E47EF"/>
    <w:rsid w:val="003E4DAC"/>
    <w:rsid w:val="003E5F32"/>
    <w:rsid w:val="003E6907"/>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0F5"/>
    <w:rsid w:val="00403332"/>
    <w:rsid w:val="00404A07"/>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0ED7"/>
    <w:rsid w:val="004210B0"/>
    <w:rsid w:val="004214E4"/>
    <w:rsid w:val="0042170B"/>
    <w:rsid w:val="004229AA"/>
    <w:rsid w:val="004231C3"/>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853"/>
    <w:rsid w:val="00447C30"/>
    <w:rsid w:val="00447CD1"/>
    <w:rsid w:val="004506A8"/>
    <w:rsid w:val="004515FA"/>
    <w:rsid w:val="004517BD"/>
    <w:rsid w:val="00451D76"/>
    <w:rsid w:val="00452162"/>
    <w:rsid w:val="00452331"/>
    <w:rsid w:val="00452471"/>
    <w:rsid w:val="004526BC"/>
    <w:rsid w:val="00453792"/>
    <w:rsid w:val="0045404B"/>
    <w:rsid w:val="004542DE"/>
    <w:rsid w:val="00455711"/>
    <w:rsid w:val="00455F41"/>
    <w:rsid w:val="0045626A"/>
    <w:rsid w:val="004567E1"/>
    <w:rsid w:val="00457559"/>
    <w:rsid w:val="00457981"/>
    <w:rsid w:val="0046113F"/>
    <w:rsid w:val="0046223B"/>
    <w:rsid w:val="00462D92"/>
    <w:rsid w:val="00462E05"/>
    <w:rsid w:val="004631FC"/>
    <w:rsid w:val="00463759"/>
    <w:rsid w:val="00464CBE"/>
    <w:rsid w:val="00464F58"/>
    <w:rsid w:val="004654F0"/>
    <w:rsid w:val="00465587"/>
    <w:rsid w:val="00466065"/>
    <w:rsid w:val="004665D4"/>
    <w:rsid w:val="0046694C"/>
    <w:rsid w:val="00466E61"/>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D0E"/>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5F9C"/>
    <w:rsid w:val="0049615E"/>
    <w:rsid w:val="004962BE"/>
    <w:rsid w:val="0049640E"/>
    <w:rsid w:val="0049644D"/>
    <w:rsid w:val="004966C7"/>
    <w:rsid w:val="004970FE"/>
    <w:rsid w:val="00497924"/>
    <w:rsid w:val="004A01B4"/>
    <w:rsid w:val="004A05B2"/>
    <w:rsid w:val="004A0843"/>
    <w:rsid w:val="004A0A45"/>
    <w:rsid w:val="004A19E8"/>
    <w:rsid w:val="004A1F7B"/>
    <w:rsid w:val="004A24A9"/>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92D"/>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BDB"/>
    <w:rsid w:val="004F3C34"/>
    <w:rsid w:val="004F3CDE"/>
    <w:rsid w:val="004F48EC"/>
    <w:rsid w:val="004F503C"/>
    <w:rsid w:val="004F51F7"/>
    <w:rsid w:val="004F5218"/>
    <w:rsid w:val="004F5A88"/>
    <w:rsid w:val="004F5B83"/>
    <w:rsid w:val="004F63FF"/>
    <w:rsid w:val="004F6F8D"/>
    <w:rsid w:val="004F71C5"/>
    <w:rsid w:val="004F72C7"/>
    <w:rsid w:val="004F78CA"/>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4C0"/>
    <w:rsid w:val="00522673"/>
    <w:rsid w:val="00522DFC"/>
    <w:rsid w:val="00522E59"/>
    <w:rsid w:val="005233D1"/>
    <w:rsid w:val="00523E21"/>
    <w:rsid w:val="005241AB"/>
    <w:rsid w:val="00524310"/>
    <w:rsid w:val="00525DB8"/>
    <w:rsid w:val="00526167"/>
    <w:rsid w:val="0052684E"/>
    <w:rsid w:val="00526C4A"/>
    <w:rsid w:val="00530467"/>
    <w:rsid w:val="00530B4D"/>
    <w:rsid w:val="00531BF1"/>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1BAD"/>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61D"/>
    <w:rsid w:val="005C7CD4"/>
    <w:rsid w:val="005C7F34"/>
    <w:rsid w:val="005C7FFC"/>
    <w:rsid w:val="005D03BB"/>
    <w:rsid w:val="005D0612"/>
    <w:rsid w:val="005D0773"/>
    <w:rsid w:val="005D0811"/>
    <w:rsid w:val="005D08AC"/>
    <w:rsid w:val="005D0C1A"/>
    <w:rsid w:val="005D0D56"/>
    <w:rsid w:val="005D124F"/>
    <w:rsid w:val="005D213B"/>
    <w:rsid w:val="005D3221"/>
    <w:rsid w:val="005D325F"/>
    <w:rsid w:val="005D366E"/>
    <w:rsid w:val="005D3BAA"/>
    <w:rsid w:val="005D3E09"/>
    <w:rsid w:val="005D47C9"/>
    <w:rsid w:val="005D4E0C"/>
    <w:rsid w:val="005D4EA4"/>
    <w:rsid w:val="005D59B9"/>
    <w:rsid w:val="005D5BDD"/>
    <w:rsid w:val="005D5EEE"/>
    <w:rsid w:val="005D6780"/>
    <w:rsid w:val="005D69CB"/>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0D4D"/>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230"/>
    <w:rsid w:val="005F639A"/>
    <w:rsid w:val="005F64D0"/>
    <w:rsid w:val="005F6E01"/>
    <w:rsid w:val="005F712C"/>
    <w:rsid w:val="005F7272"/>
    <w:rsid w:val="005F7F12"/>
    <w:rsid w:val="005F7FF8"/>
    <w:rsid w:val="00600022"/>
    <w:rsid w:val="00600762"/>
    <w:rsid w:val="00600C46"/>
    <w:rsid w:val="00600E52"/>
    <w:rsid w:val="00600F13"/>
    <w:rsid w:val="00601368"/>
    <w:rsid w:val="0060185E"/>
    <w:rsid w:val="00602155"/>
    <w:rsid w:val="006024CF"/>
    <w:rsid w:val="00603821"/>
    <w:rsid w:val="00603FF3"/>
    <w:rsid w:val="006047F8"/>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AEC"/>
    <w:rsid w:val="00613B53"/>
    <w:rsid w:val="00613D11"/>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2F10"/>
    <w:rsid w:val="00633672"/>
    <w:rsid w:val="00633750"/>
    <w:rsid w:val="00633B24"/>
    <w:rsid w:val="006341E0"/>
    <w:rsid w:val="00634807"/>
    <w:rsid w:val="00634929"/>
    <w:rsid w:val="00634C48"/>
    <w:rsid w:val="0063525D"/>
    <w:rsid w:val="00635306"/>
    <w:rsid w:val="0063559C"/>
    <w:rsid w:val="00635620"/>
    <w:rsid w:val="0063614B"/>
    <w:rsid w:val="0063750B"/>
    <w:rsid w:val="00637C3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2D19"/>
    <w:rsid w:val="006631DB"/>
    <w:rsid w:val="006631DF"/>
    <w:rsid w:val="006634A5"/>
    <w:rsid w:val="00663FE5"/>
    <w:rsid w:val="006644A0"/>
    <w:rsid w:val="006644B2"/>
    <w:rsid w:val="0066458F"/>
    <w:rsid w:val="00664D0F"/>
    <w:rsid w:val="00664F98"/>
    <w:rsid w:val="006669A4"/>
    <w:rsid w:val="006669BC"/>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708"/>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8A2"/>
    <w:rsid w:val="006B6FB3"/>
    <w:rsid w:val="006B706C"/>
    <w:rsid w:val="006B7091"/>
    <w:rsid w:val="006B78A3"/>
    <w:rsid w:val="006B7DB2"/>
    <w:rsid w:val="006C07C1"/>
    <w:rsid w:val="006C150D"/>
    <w:rsid w:val="006C1584"/>
    <w:rsid w:val="006C1734"/>
    <w:rsid w:val="006C1B47"/>
    <w:rsid w:val="006C21E0"/>
    <w:rsid w:val="006C2FC6"/>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31C"/>
    <w:rsid w:val="006D241B"/>
    <w:rsid w:val="006D2D57"/>
    <w:rsid w:val="006D2F3F"/>
    <w:rsid w:val="006D3096"/>
    <w:rsid w:val="006D3117"/>
    <w:rsid w:val="006D37A6"/>
    <w:rsid w:val="006D3AED"/>
    <w:rsid w:val="006D4089"/>
    <w:rsid w:val="006D4216"/>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72A"/>
    <w:rsid w:val="006E1868"/>
    <w:rsid w:val="006E2817"/>
    <w:rsid w:val="006E2D66"/>
    <w:rsid w:val="006E3C16"/>
    <w:rsid w:val="006E4064"/>
    <w:rsid w:val="006E419D"/>
    <w:rsid w:val="006E44FC"/>
    <w:rsid w:val="006E4EE2"/>
    <w:rsid w:val="006E50D5"/>
    <w:rsid w:val="006E5A5E"/>
    <w:rsid w:val="006E5CB7"/>
    <w:rsid w:val="006E600C"/>
    <w:rsid w:val="006E6637"/>
    <w:rsid w:val="006E7543"/>
    <w:rsid w:val="006E762A"/>
    <w:rsid w:val="006F0545"/>
    <w:rsid w:val="006F0EC3"/>
    <w:rsid w:val="006F0F9F"/>
    <w:rsid w:val="006F1927"/>
    <w:rsid w:val="006F1C1D"/>
    <w:rsid w:val="006F252D"/>
    <w:rsid w:val="006F305E"/>
    <w:rsid w:val="006F3869"/>
    <w:rsid w:val="006F3EC0"/>
    <w:rsid w:val="006F3F6D"/>
    <w:rsid w:val="006F4D98"/>
    <w:rsid w:val="006F50F4"/>
    <w:rsid w:val="006F58F1"/>
    <w:rsid w:val="006F5A1F"/>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5A39"/>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71F8"/>
    <w:rsid w:val="007472DF"/>
    <w:rsid w:val="007474AA"/>
    <w:rsid w:val="00747FFE"/>
    <w:rsid w:val="00750773"/>
    <w:rsid w:val="00750A62"/>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4E31"/>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2BF"/>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5BC"/>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4DA9"/>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4BAA"/>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5FB8"/>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59CE"/>
    <w:rsid w:val="007D6904"/>
    <w:rsid w:val="007D6E6D"/>
    <w:rsid w:val="007D6F7D"/>
    <w:rsid w:val="007D7666"/>
    <w:rsid w:val="007E01EE"/>
    <w:rsid w:val="007E06FF"/>
    <w:rsid w:val="007E0BBD"/>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CC9"/>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916"/>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9EE"/>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24"/>
    <w:rsid w:val="00883EBA"/>
    <w:rsid w:val="00884C05"/>
    <w:rsid w:val="00885AC4"/>
    <w:rsid w:val="00885B37"/>
    <w:rsid w:val="0088609F"/>
    <w:rsid w:val="0088614D"/>
    <w:rsid w:val="00886894"/>
    <w:rsid w:val="0089063E"/>
    <w:rsid w:val="00890758"/>
    <w:rsid w:val="00890FDA"/>
    <w:rsid w:val="00891DFA"/>
    <w:rsid w:val="00892161"/>
    <w:rsid w:val="0089243F"/>
    <w:rsid w:val="0089265A"/>
    <w:rsid w:val="008927C9"/>
    <w:rsid w:val="00892AB1"/>
    <w:rsid w:val="00893227"/>
    <w:rsid w:val="0089390B"/>
    <w:rsid w:val="00893C20"/>
    <w:rsid w:val="008942CE"/>
    <w:rsid w:val="00894B62"/>
    <w:rsid w:val="008951E0"/>
    <w:rsid w:val="008957E5"/>
    <w:rsid w:val="008958E9"/>
    <w:rsid w:val="00895E03"/>
    <w:rsid w:val="00895FC9"/>
    <w:rsid w:val="00896468"/>
    <w:rsid w:val="00896539"/>
    <w:rsid w:val="00897036"/>
    <w:rsid w:val="008970BA"/>
    <w:rsid w:val="008978F9"/>
    <w:rsid w:val="0089796D"/>
    <w:rsid w:val="008A0336"/>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D9B"/>
    <w:rsid w:val="008B324D"/>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940"/>
    <w:rsid w:val="008E1F3A"/>
    <w:rsid w:val="008E217C"/>
    <w:rsid w:val="008E2468"/>
    <w:rsid w:val="008E2B28"/>
    <w:rsid w:val="008E2B88"/>
    <w:rsid w:val="008E31BE"/>
    <w:rsid w:val="008E42CC"/>
    <w:rsid w:val="008E4EBB"/>
    <w:rsid w:val="008E4EF7"/>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383B"/>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9A0"/>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179"/>
    <w:rsid w:val="0098364A"/>
    <w:rsid w:val="00983AA3"/>
    <w:rsid w:val="00983AB0"/>
    <w:rsid w:val="00984231"/>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26D"/>
    <w:rsid w:val="009A544B"/>
    <w:rsid w:val="009A59D7"/>
    <w:rsid w:val="009A6707"/>
    <w:rsid w:val="009A6E25"/>
    <w:rsid w:val="009A7079"/>
    <w:rsid w:val="009A756C"/>
    <w:rsid w:val="009A7755"/>
    <w:rsid w:val="009B0520"/>
    <w:rsid w:val="009B07CD"/>
    <w:rsid w:val="009B1C24"/>
    <w:rsid w:val="009B22FA"/>
    <w:rsid w:val="009B286C"/>
    <w:rsid w:val="009B391B"/>
    <w:rsid w:val="009B3BF5"/>
    <w:rsid w:val="009B4374"/>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BFB"/>
    <w:rsid w:val="009D2093"/>
    <w:rsid w:val="009D259F"/>
    <w:rsid w:val="009D2642"/>
    <w:rsid w:val="009D2793"/>
    <w:rsid w:val="009D2BCA"/>
    <w:rsid w:val="009D42E7"/>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34A"/>
    <w:rsid w:val="009E681D"/>
    <w:rsid w:val="009E74C0"/>
    <w:rsid w:val="009F025A"/>
    <w:rsid w:val="009F0901"/>
    <w:rsid w:val="009F0EF5"/>
    <w:rsid w:val="009F1DB3"/>
    <w:rsid w:val="009F20D7"/>
    <w:rsid w:val="009F216D"/>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791"/>
    <w:rsid w:val="00A01AC5"/>
    <w:rsid w:val="00A01B62"/>
    <w:rsid w:val="00A01C6D"/>
    <w:rsid w:val="00A022A2"/>
    <w:rsid w:val="00A02953"/>
    <w:rsid w:val="00A032D8"/>
    <w:rsid w:val="00A036A5"/>
    <w:rsid w:val="00A03B69"/>
    <w:rsid w:val="00A03BA6"/>
    <w:rsid w:val="00A03D35"/>
    <w:rsid w:val="00A0403D"/>
    <w:rsid w:val="00A0436C"/>
    <w:rsid w:val="00A044A1"/>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6ECA"/>
    <w:rsid w:val="00A37112"/>
    <w:rsid w:val="00A37300"/>
    <w:rsid w:val="00A37763"/>
    <w:rsid w:val="00A37DE7"/>
    <w:rsid w:val="00A37EB8"/>
    <w:rsid w:val="00A4048B"/>
    <w:rsid w:val="00A405D1"/>
    <w:rsid w:val="00A406F9"/>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D05"/>
    <w:rsid w:val="00A53FA2"/>
    <w:rsid w:val="00A5419E"/>
    <w:rsid w:val="00A54674"/>
    <w:rsid w:val="00A54B2B"/>
    <w:rsid w:val="00A554D1"/>
    <w:rsid w:val="00A5566A"/>
    <w:rsid w:val="00A5587B"/>
    <w:rsid w:val="00A558FB"/>
    <w:rsid w:val="00A567B4"/>
    <w:rsid w:val="00A5696D"/>
    <w:rsid w:val="00A56994"/>
    <w:rsid w:val="00A56AFE"/>
    <w:rsid w:val="00A57045"/>
    <w:rsid w:val="00A57159"/>
    <w:rsid w:val="00A571F6"/>
    <w:rsid w:val="00A57462"/>
    <w:rsid w:val="00A57E85"/>
    <w:rsid w:val="00A60297"/>
    <w:rsid w:val="00A607FF"/>
    <w:rsid w:val="00A6098E"/>
    <w:rsid w:val="00A60EC2"/>
    <w:rsid w:val="00A6102B"/>
    <w:rsid w:val="00A612FA"/>
    <w:rsid w:val="00A61561"/>
    <w:rsid w:val="00A61E30"/>
    <w:rsid w:val="00A62367"/>
    <w:rsid w:val="00A6385F"/>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3A"/>
    <w:rsid w:val="00A67DED"/>
    <w:rsid w:val="00A70691"/>
    <w:rsid w:val="00A70C93"/>
    <w:rsid w:val="00A72470"/>
    <w:rsid w:val="00A725F7"/>
    <w:rsid w:val="00A72911"/>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50"/>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6BBE"/>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5D31"/>
    <w:rsid w:val="00AA62E6"/>
    <w:rsid w:val="00AA7128"/>
    <w:rsid w:val="00AA7856"/>
    <w:rsid w:val="00AA7877"/>
    <w:rsid w:val="00AB1265"/>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1FDE"/>
    <w:rsid w:val="00AE2BB1"/>
    <w:rsid w:val="00AE2F00"/>
    <w:rsid w:val="00AE40A1"/>
    <w:rsid w:val="00AE48A2"/>
    <w:rsid w:val="00AE4E04"/>
    <w:rsid w:val="00AE4F3C"/>
    <w:rsid w:val="00AE52CD"/>
    <w:rsid w:val="00AE576D"/>
    <w:rsid w:val="00AE5C82"/>
    <w:rsid w:val="00AE5EB2"/>
    <w:rsid w:val="00AE61D6"/>
    <w:rsid w:val="00AE66BE"/>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8D9"/>
    <w:rsid w:val="00B13CE8"/>
    <w:rsid w:val="00B13F9A"/>
    <w:rsid w:val="00B1448C"/>
    <w:rsid w:val="00B15449"/>
    <w:rsid w:val="00B157C1"/>
    <w:rsid w:val="00B16225"/>
    <w:rsid w:val="00B16A38"/>
    <w:rsid w:val="00B16C2F"/>
    <w:rsid w:val="00B2005B"/>
    <w:rsid w:val="00B205CE"/>
    <w:rsid w:val="00B218E3"/>
    <w:rsid w:val="00B21D2F"/>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4342"/>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5D2C"/>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10"/>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781"/>
    <w:rsid w:val="00BA5B95"/>
    <w:rsid w:val="00BA6DF3"/>
    <w:rsid w:val="00BA7914"/>
    <w:rsid w:val="00BB07ED"/>
    <w:rsid w:val="00BB1327"/>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29"/>
    <w:rsid w:val="00BC5A38"/>
    <w:rsid w:val="00BC5E1A"/>
    <w:rsid w:val="00BC5F81"/>
    <w:rsid w:val="00BC6083"/>
    <w:rsid w:val="00BC75D1"/>
    <w:rsid w:val="00BC771D"/>
    <w:rsid w:val="00BC778E"/>
    <w:rsid w:val="00BD04DF"/>
    <w:rsid w:val="00BD0577"/>
    <w:rsid w:val="00BD11C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7A5"/>
    <w:rsid w:val="00BE2905"/>
    <w:rsid w:val="00BE2967"/>
    <w:rsid w:val="00BE2A57"/>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6328"/>
    <w:rsid w:val="00BF7142"/>
    <w:rsid w:val="00C001D7"/>
    <w:rsid w:val="00C00A44"/>
    <w:rsid w:val="00C00E4C"/>
    <w:rsid w:val="00C010C6"/>
    <w:rsid w:val="00C01207"/>
    <w:rsid w:val="00C0129E"/>
    <w:rsid w:val="00C014D5"/>
    <w:rsid w:val="00C01781"/>
    <w:rsid w:val="00C01966"/>
    <w:rsid w:val="00C0248A"/>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946"/>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5E94"/>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AD6"/>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0F9F"/>
    <w:rsid w:val="00C61896"/>
    <w:rsid w:val="00C61B07"/>
    <w:rsid w:val="00C61DFD"/>
    <w:rsid w:val="00C61FA1"/>
    <w:rsid w:val="00C62742"/>
    <w:rsid w:val="00C631F8"/>
    <w:rsid w:val="00C637AB"/>
    <w:rsid w:val="00C64168"/>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662"/>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511"/>
    <w:rsid w:val="00C77BB8"/>
    <w:rsid w:val="00C80152"/>
    <w:rsid w:val="00C803B3"/>
    <w:rsid w:val="00C809F9"/>
    <w:rsid w:val="00C80BB5"/>
    <w:rsid w:val="00C811E6"/>
    <w:rsid w:val="00C81467"/>
    <w:rsid w:val="00C81520"/>
    <w:rsid w:val="00C815BA"/>
    <w:rsid w:val="00C81720"/>
    <w:rsid w:val="00C823C3"/>
    <w:rsid w:val="00C828A0"/>
    <w:rsid w:val="00C82AF6"/>
    <w:rsid w:val="00C82B0D"/>
    <w:rsid w:val="00C83418"/>
    <w:rsid w:val="00C83A13"/>
    <w:rsid w:val="00C84379"/>
    <w:rsid w:val="00C846AF"/>
    <w:rsid w:val="00C852E8"/>
    <w:rsid w:val="00C85A42"/>
    <w:rsid w:val="00C85BEC"/>
    <w:rsid w:val="00C85C33"/>
    <w:rsid w:val="00C8662F"/>
    <w:rsid w:val="00C86C74"/>
    <w:rsid w:val="00C86E6F"/>
    <w:rsid w:val="00C86F6B"/>
    <w:rsid w:val="00C904D1"/>
    <w:rsid w:val="00C9068C"/>
    <w:rsid w:val="00C91706"/>
    <w:rsid w:val="00C9197C"/>
    <w:rsid w:val="00C923D2"/>
    <w:rsid w:val="00C924B6"/>
    <w:rsid w:val="00C925A9"/>
    <w:rsid w:val="00C927D8"/>
    <w:rsid w:val="00C92967"/>
    <w:rsid w:val="00C929D2"/>
    <w:rsid w:val="00C93077"/>
    <w:rsid w:val="00C944D0"/>
    <w:rsid w:val="00C95BDE"/>
    <w:rsid w:val="00C95FD1"/>
    <w:rsid w:val="00C9629D"/>
    <w:rsid w:val="00C96658"/>
    <w:rsid w:val="00C96EF6"/>
    <w:rsid w:val="00C97034"/>
    <w:rsid w:val="00C9757E"/>
    <w:rsid w:val="00C97688"/>
    <w:rsid w:val="00C977A3"/>
    <w:rsid w:val="00C97932"/>
    <w:rsid w:val="00CA055F"/>
    <w:rsid w:val="00CA0669"/>
    <w:rsid w:val="00CA0DA6"/>
    <w:rsid w:val="00CA0FBD"/>
    <w:rsid w:val="00CA2C11"/>
    <w:rsid w:val="00CA2E7B"/>
    <w:rsid w:val="00CA33ED"/>
    <w:rsid w:val="00CA357D"/>
    <w:rsid w:val="00CA3A25"/>
    <w:rsid w:val="00CA3D0C"/>
    <w:rsid w:val="00CA3FC3"/>
    <w:rsid w:val="00CA4321"/>
    <w:rsid w:val="00CA54C1"/>
    <w:rsid w:val="00CA6003"/>
    <w:rsid w:val="00CA654B"/>
    <w:rsid w:val="00CA7B60"/>
    <w:rsid w:val="00CB10C7"/>
    <w:rsid w:val="00CB1DAF"/>
    <w:rsid w:val="00CB2192"/>
    <w:rsid w:val="00CB2229"/>
    <w:rsid w:val="00CB29EF"/>
    <w:rsid w:val="00CB3021"/>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17"/>
    <w:rsid w:val="00CC10FA"/>
    <w:rsid w:val="00CC152E"/>
    <w:rsid w:val="00CC1696"/>
    <w:rsid w:val="00CC16B2"/>
    <w:rsid w:val="00CC191B"/>
    <w:rsid w:val="00CC24B8"/>
    <w:rsid w:val="00CC285C"/>
    <w:rsid w:val="00CC296B"/>
    <w:rsid w:val="00CC3493"/>
    <w:rsid w:val="00CC3596"/>
    <w:rsid w:val="00CC3D95"/>
    <w:rsid w:val="00CC3F93"/>
    <w:rsid w:val="00CC54E5"/>
    <w:rsid w:val="00CC593B"/>
    <w:rsid w:val="00CC5A13"/>
    <w:rsid w:val="00CC5D2B"/>
    <w:rsid w:val="00CC7366"/>
    <w:rsid w:val="00CC7F69"/>
    <w:rsid w:val="00CD04F9"/>
    <w:rsid w:val="00CD098E"/>
    <w:rsid w:val="00CD0F6C"/>
    <w:rsid w:val="00CD0FE8"/>
    <w:rsid w:val="00CD15E8"/>
    <w:rsid w:val="00CD2191"/>
    <w:rsid w:val="00CD27AA"/>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5E0"/>
    <w:rsid w:val="00CE79F8"/>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4CE"/>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843"/>
    <w:rsid w:val="00D47D25"/>
    <w:rsid w:val="00D502A4"/>
    <w:rsid w:val="00D50F2E"/>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57A0D"/>
    <w:rsid w:val="00D60072"/>
    <w:rsid w:val="00D601DD"/>
    <w:rsid w:val="00D6093D"/>
    <w:rsid w:val="00D60E63"/>
    <w:rsid w:val="00D61553"/>
    <w:rsid w:val="00D61D1C"/>
    <w:rsid w:val="00D62BB0"/>
    <w:rsid w:val="00D62E19"/>
    <w:rsid w:val="00D63625"/>
    <w:rsid w:val="00D63BC8"/>
    <w:rsid w:val="00D63FE8"/>
    <w:rsid w:val="00D64923"/>
    <w:rsid w:val="00D64CD3"/>
    <w:rsid w:val="00D656DE"/>
    <w:rsid w:val="00D65DBC"/>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42A"/>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51D"/>
    <w:rsid w:val="00DB3B48"/>
    <w:rsid w:val="00DB4500"/>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AA2"/>
    <w:rsid w:val="00DE0D95"/>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284"/>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1F6"/>
    <w:rsid w:val="00E476BF"/>
    <w:rsid w:val="00E476C8"/>
    <w:rsid w:val="00E4779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37B5"/>
    <w:rsid w:val="00E94D7E"/>
    <w:rsid w:val="00E94F28"/>
    <w:rsid w:val="00E953E4"/>
    <w:rsid w:val="00E955CD"/>
    <w:rsid w:val="00E956EE"/>
    <w:rsid w:val="00E95A3C"/>
    <w:rsid w:val="00E95D7A"/>
    <w:rsid w:val="00E96696"/>
    <w:rsid w:val="00E96A6B"/>
    <w:rsid w:val="00E9757F"/>
    <w:rsid w:val="00E975D6"/>
    <w:rsid w:val="00E979D5"/>
    <w:rsid w:val="00EA027D"/>
    <w:rsid w:val="00EA069A"/>
    <w:rsid w:val="00EA16D3"/>
    <w:rsid w:val="00EA1883"/>
    <w:rsid w:val="00EA2253"/>
    <w:rsid w:val="00EA2AB5"/>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29ED"/>
    <w:rsid w:val="00EB3614"/>
    <w:rsid w:val="00EB3A76"/>
    <w:rsid w:val="00EB3DD1"/>
    <w:rsid w:val="00EB50EB"/>
    <w:rsid w:val="00EB61F3"/>
    <w:rsid w:val="00EB7655"/>
    <w:rsid w:val="00EC0760"/>
    <w:rsid w:val="00EC09C4"/>
    <w:rsid w:val="00EC0D00"/>
    <w:rsid w:val="00EC0F50"/>
    <w:rsid w:val="00EC100A"/>
    <w:rsid w:val="00EC12FF"/>
    <w:rsid w:val="00EC209C"/>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5C83"/>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65B"/>
    <w:rsid w:val="00F337C8"/>
    <w:rsid w:val="00F33963"/>
    <w:rsid w:val="00F33A54"/>
    <w:rsid w:val="00F3493C"/>
    <w:rsid w:val="00F35068"/>
    <w:rsid w:val="00F35096"/>
    <w:rsid w:val="00F359D5"/>
    <w:rsid w:val="00F361E7"/>
    <w:rsid w:val="00F3671D"/>
    <w:rsid w:val="00F3695B"/>
    <w:rsid w:val="00F36CE4"/>
    <w:rsid w:val="00F36FE6"/>
    <w:rsid w:val="00F37743"/>
    <w:rsid w:val="00F37B50"/>
    <w:rsid w:val="00F37F13"/>
    <w:rsid w:val="00F40307"/>
    <w:rsid w:val="00F40827"/>
    <w:rsid w:val="00F409E8"/>
    <w:rsid w:val="00F410A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6AA"/>
    <w:rsid w:val="00F51751"/>
    <w:rsid w:val="00F51E46"/>
    <w:rsid w:val="00F51F3B"/>
    <w:rsid w:val="00F52711"/>
    <w:rsid w:val="00F53066"/>
    <w:rsid w:val="00F53C54"/>
    <w:rsid w:val="00F54735"/>
    <w:rsid w:val="00F54A3D"/>
    <w:rsid w:val="00F54CB0"/>
    <w:rsid w:val="00F55571"/>
    <w:rsid w:val="00F5639F"/>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0935"/>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0FD1"/>
    <w:rsid w:val="00F913CD"/>
    <w:rsid w:val="00F9154D"/>
    <w:rsid w:val="00F91947"/>
    <w:rsid w:val="00F919AD"/>
    <w:rsid w:val="00F91C00"/>
    <w:rsid w:val="00F9225F"/>
    <w:rsid w:val="00F92558"/>
    <w:rsid w:val="00F92B78"/>
    <w:rsid w:val="00F92C87"/>
    <w:rsid w:val="00F92D72"/>
    <w:rsid w:val="00F9357B"/>
    <w:rsid w:val="00F941DF"/>
    <w:rsid w:val="00F94416"/>
    <w:rsid w:val="00F94B3C"/>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69A2"/>
    <w:rsid w:val="00FB7056"/>
    <w:rsid w:val="00FB7590"/>
    <w:rsid w:val="00FB7AA6"/>
    <w:rsid w:val="00FB7D1C"/>
    <w:rsid w:val="00FC007B"/>
    <w:rsid w:val="00FC00E3"/>
    <w:rsid w:val="00FC1192"/>
    <w:rsid w:val="00FC1BA1"/>
    <w:rsid w:val="00FC1D9D"/>
    <w:rsid w:val="00FC222B"/>
    <w:rsid w:val="00FC271F"/>
    <w:rsid w:val="00FC2781"/>
    <w:rsid w:val="00FC27C4"/>
    <w:rsid w:val="00FC28BD"/>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068"/>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24C0"/>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목록 단"/>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styleId="afd">
    <w:name w:val="Strong"/>
    <w:basedOn w:val="a2"/>
    <w:uiPriority w:val="22"/>
    <w:qFormat/>
    <w:rsid w:val="007845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24637431">
      <w:bodyDiv w:val="1"/>
      <w:marLeft w:val="0"/>
      <w:marRight w:val="0"/>
      <w:marTop w:val="0"/>
      <w:marBottom w:val="0"/>
      <w:divBdr>
        <w:top w:val="none" w:sz="0" w:space="0" w:color="auto"/>
        <w:left w:val="none" w:sz="0" w:space="0" w:color="auto"/>
        <w:bottom w:val="none" w:sz="0" w:space="0" w:color="auto"/>
        <w:right w:val="none" w:sz="0" w:space="0" w:color="auto"/>
      </w:divBdr>
      <w:divsChild>
        <w:div w:id="1878932345">
          <w:marLeft w:val="0"/>
          <w:marRight w:val="0"/>
          <w:marTop w:val="0"/>
          <w:marBottom w:val="0"/>
          <w:divBdr>
            <w:top w:val="none" w:sz="0" w:space="0" w:color="auto"/>
            <w:left w:val="none" w:sz="0" w:space="0" w:color="auto"/>
            <w:bottom w:val="none" w:sz="0" w:space="0" w:color="auto"/>
            <w:right w:val="none" w:sz="0" w:space="0" w:color="auto"/>
          </w:divBdr>
          <w:divsChild>
            <w:div w:id="293827615">
              <w:marLeft w:val="0"/>
              <w:marRight w:val="0"/>
              <w:marTop w:val="0"/>
              <w:marBottom w:val="0"/>
              <w:divBdr>
                <w:top w:val="none" w:sz="0" w:space="0" w:color="auto"/>
                <w:left w:val="none" w:sz="0" w:space="0" w:color="auto"/>
                <w:bottom w:val="none" w:sz="0" w:space="0" w:color="auto"/>
                <w:right w:val="none" w:sz="0" w:space="0" w:color="auto"/>
              </w:divBdr>
            </w:div>
            <w:div w:id="1910648252">
              <w:marLeft w:val="0"/>
              <w:marRight w:val="0"/>
              <w:marTop w:val="0"/>
              <w:marBottom w:val="0"/>
              <w:divBdr>
                <w:top w:val="none" w:sz="0" w:space="0" w:color="auto"/>
                <w:left w:val="none" w:sz="0" w:space="0" w:color="auto"/>
                <w:bottom w:val="none" w:sz="0" w:space="0" w:color="auto"/>
                <w:right w:val="none" w:sz="0" w:space="0" w:color="auto"/>
              </w:divBdr>
            </w:div>
            <w:div w:id="3654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41867296">
      <w:bodyDiv w:val="1"/>
      <w:marLeft w:val="0"/>
      <w:marRight w:val="0"/>
      <w:marTop w:val="0"/>
      <w:marBottom w:val="0"/>
      <w:divBdr>
        <w:top w:val="none" w:sz="0" w:space="0" w:color="auto"/>
        <w:left w:val="none" w:sz="0" w:space="0" w:color="auto"/>
        <w:bottom w:val="none" w:sz="0" w:space="0" w:color="auto"/>
        <w:right w:val="none" w:sz="0" w:space="0" w:color="auto"/>
      </w:divBdr>
      <w:divsChild>
        <w:div w:id="1430813011">
          <w:marLeft w:val="0"/>
          <w:marRight w:val="0"/>
          <w:marTop w:val="0"/>
          <w:marBottom w:val="0"/>
          <w:divBdr>
            <w:top w:val="none" w:sz="0" w:space="0" w:color="auto"/>
            <w:left w:val="none" w:sz="0" w:space="0" w:color="auto"/>
            <w:bottom w:val="none" w:sz="0" w:space="0" w:color="auto"/>
            <w:right w:val="none" w:sz="0" w:space="0" w:color="auto"/>
          </w:divBdr>
          <w:divsChild>
            <w:div w:id="52586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07807517">
      <w:bodyDiv w:val="1"/>
      <w:marLeft w:val="0"/>
      <w:marRight w:val="0"/>
      <w:marTop w:val="0"/>
      <w:marBottom w:val="0"/>
      <w:divBdr>
        <w:top w:val="none" w:sz="0" w:space="0" w:color="auto"/>
        <w:left w:val="none" w:sz="0" w:space="0" w:color="auto"/>
        <w:bottom w:val="none" w:sz="0" w:space="0" w:color="auto"/>
        <w:right w:val="none" w:sz="0" w:space="0" w:color="auto"/>
      </w:divBdr>
      <w:divsChild>
        <w:div w:id="1360206668">
          <w:marLeft w:val="0"/>
          <w:marRight w:val="0"/>
          <w:marTop w:val="0"/>
          <w:marBottom w:val="0"/>
          <w:divBdr>
            <w:top w:val="none" w:sz="0" w:space="0" w:color="auto"/>
            <w:left w:val="none" w:sz="0" w:space="0" w:color="auto"/>
            <w:bottom w:val="none" w:sz="0" w:space="0" w:color="auto"/>
            <w:right w:val="none" w:sz="0" w:space="0" w:color="auto"/>
          </w:divBdr>
          <w:divsChild>
            <w:div w:id="1380278147">
              <w:marLeft w:val="0"/>
              <w:marRight w:val="0"/>
              <w:marTop w:val="0"/>
              <w:marBottom w:val="0"/>
              <w:divBdr>
                <w:top w:val="none" w:sz="0" w:space="0" w:color="auto"/>
                <w:left w:val="none" w:sz="0" w:space="0" w:color="auto"/>
                <w:bottom w:val="none" w:sz="0" w:space="0" w:color="auto"/>
                <w:right w:val="none" w:sz="0" w:space="0" w:color="auto"/>
              </w:divBdr>
            </w:div>
            <w:div w:id="603391299">
              <w:marLeft w:val="0"/>
              <w:marRight w:val="0"/>
              <w:marTop w:val="0"/>
              <w:marBottom w:val="0"/>
              <w:divBdr>
                <w:top w:val="none" w:sz="0" w:space="0" w:color="auto"/>
                <w:left w:val="none" w:sz="0" w:space="0" w:color="auto"/>
                <w:bottom w:val="none" w:sz="0" w:space="0" w:color="auto"/>
                <w:right w:val="none" w:sz="0" w:space="0" w:color="auto"/>
              </w:divBdr>
            </w:div>
            <w:div w:id="1974019588">
              <w:marLeft w:val="0"/>
              <w:marRight w:val="0"/>
              <w:marTop w:val="0"/>
              <w:marBottom w:val="0"/>
              <w:divBdr>
                <w:top w:val="none" w:sz="0" w:space="0" w:color="auto"/>
                <w:left w:val="none" w:sz="0" w:space="0" w:color="auto"/>
                <w:bottom w:val="none" w:sz="0" w:space="0" w:color="auto"/>
                <w:right w:val="none" w:sz="0" w:space="0" w:color="auto"/>
              </w:divBdr>
            </w:div>
            <w:div w:id="2056737667">
              <w:marLeft w:val="0"/>
              <w:marRight w:val="0"/>
              <w:marTop w:val="0"/>
              <w:marBottom w:val="0"/>
              <w:divBdr>
                <w:top w:val="none" w:sz="0" w:space="0" w:color="auto"/>
                <w:left w:val="none" w:sz="0" w:space="0" w:color="auto"/>
                <w:bottom w:val="none" w:sz="0" w:space="0" w:color="auto"/>
                <w:right w:val="none" w:sz="0" w:space="0" w:color="auto"/>
              </w:divBdr>
            </w:div>
            <w:div w:id="1573662552">
              <w:marLeft w:val="0"/>
              <w:marRight w:val="0"/>
              <w:marTop w:val="0"/>
              <w:marBottom w:val="0"/>
              <w:divBdr>
                <w:top w:val="none" w:sz="0" w:space="0" w:color="auto"/>
                <w:left w:val="none" w:sz="0" w:space="0" w:color="auto"/>
                <w:bottom w:val="none" w:sz="0" w:space="0" w:color="auto"/>
                <w:right w:val="none" w:sz="0" w:space="0" w:color="auto"/>
              </w:divBdr>
            </w:div>
            <w:div w:id="1660423172">
              <w:marLeft w:val="0"/>
              <w:marRight w:val="0"/>
              <w:marTop w:val="0"/>
              <w:marBottom w:val="0"/>
              <w:divBdr>
                <w:top w:val="none" w:sz="0" w:space="0" w:color="auto"/>
                <w:left w:val="none" w:sz="0" w:space="0" w:color="auto"/>
                <w:bottom w:val="none" w:sz="0" w:space="0" w:color="auto"/>
                <w:right w:val="none" w:sz="0" w:space="0" w:color="auto"/>
              </w:divBdr>
            </w:div>
            <w:div w:id="21077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89417667">
      <w:bodyDiv w:val="1"/>
      <w:marLeft w:val="0"/>
      <w:marRight w:val="0"/>
      <w:marTop w:val="0"/>
      <w:marBottom w:val="0"/>
      <w:divBdr>
        <w:top w:val="none" w:sz="0" w:space="0" w:color="auto"/>
        <w:left w:val="none" w:sz="0" w:space="0" w:color="auto"/>
        <w:bottom w:val="none" w:sz="0" w:space="0" w:color="auto"/>
        <w:right w:val="none" w:sz="0" w:space="0" w:color="auto"/>
      </w:divBdr>
      <w:divsChild>
        <w:div w:id="1953437607">
          <w:marLeft w:val="0"/>
          <w:marRight w:val="0"/>
          <w:marTop w:val="0"/>
          <w:marBottom w:val="0"/>
          <w:divBdr>
            <w:top w:val="none" w:sz="0" w:space="0" w:color="auto"/>
            <w:left w:val="none" w:sz="0" w:space="0" w:color="auto"/>
            <w:bottom w:val="none" w:sz="0" w:space="0" w:color="auto"/>
            <w:right w:val="none" w:sz="0" w:space="0" w:color="auto"/>
          </w:divBdr>
          <w:divsChild>
            <w:div w:id="145359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70940722">
      <w:bodyDiv w:val="1"/>
      <w:marLeft w:val="0"/>
      <w:marRight w:val="0"/>
      <w:marTop w:val="0"/>
      <w:marBottom w:val="0"/>
      <w:divBdr>
        <w:top w:val="none" w:sz="0" w:space="0" w:color="auto"/>
        <w:left w:val="none" w:sz="0" w:space="0" w:color="auto"/>
        <w:bottom w:val="none" w:sz="0" w:space="0" w:color="auto"/>
        <w:right w:val="none" w:sz="0" w:space="0" w:color="auto"/>
      </w:divBdr>
      <w:divsChild>
        <w:div w:id="330376668">
          <w:marLeft w:val="1282"/>
          <w:marRight w:val="0"/>
          <w:marTop w:val="0"/>
          <w:marBottom w:val="0"/>
          <w:divBdr>
            <w:top w:val="none" w:sz="0" w:space="0" w:color="auto"/>
            <w:left w:val="none" w:sz="0" w:space="0" w:color="auto"/>
            <w:bottom w:val="none" w:sz="0" w:space="0" w:color="auto"/>
            <w:right w:val="none" w:sz="0" w:space="0" w:color="auto"/>
          </w:divBdr>
        </w:div>
      </w:divsChild>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0A5943C-819A-46BE-8915-DBE22D12239B}">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159</TotalTime>
  <Pages>2</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o202104252331</cp:lastModifiedBy>
  <cp:revision>62</cp:revision>
  <dcterms:created xsi:type="dcterms:W3CDTF">2024-08-09T04:10:00Z</dcterms:created>
  <dcterms:modified xsi:type="dcterms:W3CDTF">2025-03-27T08:48:00Z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